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43180</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78"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10-K</w:t>
      </w:r>
    </w:p>
    <w:p>
      <w:pPr>
        <w:spacing w:after="0" w:line="8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-116205</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7"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w:t>
      </w:r>
    </w:p>
    <w:p>
      <w:pPr>
        <w:spacing w:after="0" w:line="62" w:lineRule="exact"/>
        <w:rPr>
          <w:rFonts w:ascii="MS PGothic" w:cs="MS PGothic" w:eastAsia="MS PGothic" w:hAnsi="MS PGothic"/>
          <w:sz w:val="18"/>
          <w:szCs w:val="18"/>
          <w:color w:val="auto"/>
          <w:highlight w:val="black"/>
        </w:rPr>
      </w:pPr>
    </w:p>
    <w:p>
      <w:pPr>
        <w:ind w:left="3980"/>
        <w:spacing w:after="0"/>
        <w:rPr>
          <w:rFonts w:ascii="MS PGothic" w:cs="MS PGothic" w:eastAsia="MS PGothic" w:hAnsi="MS PGothic"/>
          <w:sz w:val="18"/>
          <w:szCs w:val="18"/>
          <w:color w:val="auto"/>
          <w:highlight w:val="black"/>
        </w:rPr>
      </w:pPr>
      <w:r>
        <w:rPr>
          <w:rFonts w:ascii="Arial" w:cs="Arial" w:eastAsia="Arial" w:hAnsi="Arial"/>
          <w:sz w:val="16"/>
          <w:szCs w:val="16"/>
          <w:b w:val="1"/>
          <w:bCs w:val="1"/>
          <w:color w:val="auto"/>
        </w:rPr>
        <w:t xml:space="preserve">For the fiscal year ended </w:t>
      </w:r>
      <w:r>
        <w:rPr>
          <w:rFonts w:ascii="Arial" w:cs="Arial" w:eastAsia="Arial" w:hAnsi="Arial"/>
          <w:sz w:val="17"/>
          <w:szCs w:val="17"/>
          <w:b w:val="1"/>
          <w:bCs w:val="1"/>
          <w:color w:val="auto"/>
        </w:rPr>
        <w:t>December 31, 2022</w:t>
      </w:r>
    </w:p>
    <w:p>
      <w:pPr>
        <w:spacing w:after="0" w:line="5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68"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59" w:lineRule="exact"/>
        <w:rPr>
          <w:sz w:val="24"/>
          <w:szCs w:val="24"/>
          <w:color w:val="auto"/>
        </w:rPr>
      </w:pPr>
    </w:p>
    <w:tbl>
      <w:tblPr>
        <w:tblLayout w:type="fixed"/>
        <w:tblInd w:w="4060" w:type="dxa"/>
        <w:tblCellMar>
          <w:top w:w="0" w:type="dxa"/>
          <w:left w:w="0" w:type="dxa"/>
          <w:bottom w:w="0" w:type="dxa"/>
          <w:right w:w="0" w:type="dxa"/>
        </w:tblCellMar>
      </w:tblPr>
      <w:tr>
        <w:trPr>
          <w:trHeight w:val="184"/>
        </w:trPr>
        <w:tc>
          <w:tcPr>
            <w:tcW w:w="2140" w:type="dxa"/>
            <w:vAlign w:val="bottom"/>
          </w:tcPr>
          <w:p>
            <w:pPr>
              <w:spacing w:after="0"/>
              <w:rPr>
                <w:sz w:val="20"/>
                <w:szCs w:val="20"/>
                <w:color w:val="auto"/>
              </w:rPr>
            </w:pPr>
            <w:r>
              <w:rPr>
                <w:rFonts w:ascii="Arial" w:cs="Arial" w:eastAsia="Arial" w:hAnsi="Arial"/>
                <w:sz w:val="16"/>
                <w:szCs w:val="16"/>
                <w:b w:val="1"/>
                <w:bCs w:val="1"/>
                <w:color w:val="auto"/>
                <w:w w:val="94"/>
              </w:rPr>
              <w:t>For the transition period from</w:t>
            </w:r>
          </w:p>
        </w:tc>
        <w:tc>
          <w:tcPr>
            <w:tcW w:w="760" w:type="dxa"/>
            <w:vAlign w:val="bottom"/>
            <w:tcBorders>
              <w:bottom w:val="single" w:sz="8" w:color="auto"/>
            </w:tcBorders>
          </w:tcPr>
          <w:p>
            <w:pPr>
              <w:spacing w:after="0"/>
              <w:rPr>
                <w:sz w:val="16"/>
                <w:szCs w:val="16"/>
                <w:color w:val="auto"/>
              </w:rPr>
            </w:pPr>
          </w:p>
        </w:tc>
        <w:tc>
          <w:tcPr>
            <w:tcW w:w="180" w:type="dxa"/>
            <w:vAlign w:val="bottom"/>
          </w:tcPr>
          <w:p>
            <w:pPr>
              <w:ind w:left="40"/>
              <w:spacing w:after="0"/>
              <w:rPr>
                <w:sz w:val="20"/>
                <w:szCs w:val="20"/>
                <w:color w:val="auto"/>
              </w:rPr>
            </w:pPr>
            <w:r>
              <w:rPr>
                <w:rFonts w:ascii="Arial" w:cs="Arial" w:eastAsia="Arial" w:hAnsi="Arial"/>
                <w:sz w:val="16"/>
                <w:szCs w:val="16"/>
                <w:b w:val="1"/>
                <w:bCs w:val="1"/>
                <w:color w:val="auto"/>
                <w:w w:val="79"/>
              </w:rPr>
              <w:t>to</w:t>
            </w:r>
          </w:p>
        </w:tc>
      </w:tr>
      <w:tr>
        <w:trPr>
          <w:trHeight w:val="257"/>
        </w:trPr>
        <w:tc>
          <w:tcPr>
            <w:tcW w:w="2900" w:type="dxa"/>
            <w:vAlign w:val="bottom"/>
            <w:gridSpan w:val="2"/>
          </w:tcPr>
          <w:p>
            <w:pPr>
              <w:ind w:left="400"/>
              <w:spacing w:after="0"/>
              <w:rPr>
                <w:sz w:val="20"/>
                <w:szCs w:val="20"/>
                <w:color w:val="auto"/>
              </w:rPr>
            </w:pPr>
            <w:r>
              <w:rPr>
                <w:rFonts w:ascii="Arial" w:cs="Arial" w:eastAsia="Arial" w:hAnsi="Arial"/>
                <w:sz w:val="16"/>
                <w:szCs w:val="16"/>
                <w:b w:val="1"/>
                <w:bCs w:val="1"/>
                <w:color w:val="auto"/>
                <w:w w:val="97"/>
              </w:rPr>
              <w:t>Commission file number: 0-12255</w:t>
            </w:r>
          </w:p>
        </w:tc>
        <w:tc>
          <w:tcPr>
            <w:tcW w:w="180" w:type="dxa"/>
            <w:vAlign w:val="bottom"/>
          </w:tcPr>
          <w:p>
            <w:pPr>
              <w:spacing w:after="0"/>
              <w:rPr>
                <w:sz w:val="22"/>
                <w:szCs w:val="22"/>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38100</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Yellow Corporation</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30480</wp:posOffset>
            </wp:positionV>
            <wp:extent cx="143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82"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3980" w:type="dxa"/>
            <w:vAlign w:val="bottom"/>
          </w:tcPr>
          <w:p>
            <w:pPr>
              <w:jc w:val="center"/>
              <w:ind w:left="1483"/>
              <w:spacing w:after="0"/>
              <w:rPr>
                <w:sz w:val="20"/>
                <w:szCs w:val="20"/>
                <w:color w:val="auto"/>
              </w:rPr>
            </w:pPr>
            <w:r>
              <w:rPr>
                <w:rFonts w:ascii="Arial" w:cs="Arial" w:eastAsia="Arial" w:hAnsi="Arial"/>
                <w:sz w:val="16"/>
                <w:szCs w:val="16"/>
                <w:b w:val="1"/>
                <w:bCs w:val="1"/>
                <w:color w:val="auto"/>
                <w:w w:val="93"/>
              </w:rPr>
              <w:t>Delaware</w:t>
            </w:r>
          </w:p>
        </w:tc>
        <w:tc>
          <w:tcPr>
            <w:tcW w:w="5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40" w:type="dxa"/>
            <w:vAlign w:val="bottom"/>
          </w:tcPr>
          <w:p>
            <w:pPr>
              <w:jc w:val="right"/>
              <w:ind w:right="2284"/>
              <w:spacing w:after="0"/>
              <w:rPr>
                <w:sz w:val="20"/>
                <w:szCs w:val="20"/>
                <w:color w:val="auto"/>
              </w:rPr>
            </w:pPr>
            <w:r>
              <w:rPr>
                <w:rFonts w:ascii="Arial" w:cs="Arial" w:eastAsia="Arial" w:hAnsi="Arial"/>
                <w:sz w:val="16"/>
                <w:szCs w:val="16"/>
                <w:b w:val="1"/>
                <w:bCs w:val="1"/>
                <w:color w:val="auto"/>
              </w:rPr>
              <w:t>48-0948788</w:t>
            </w:r>
          </w:p>
        </w:tc>
        <w:tc>
          <w:tcPr>
            <w:tcW w:w="0" w:type="dxa"/>
            <w:vAlign w:val="bottom"/>
          </w:tcPr>
          <w:p>
            <w:pPr>
              <w:spacing w:after="0"/>
              <w:rPr>
                <w:sz w:val="1"/>
                <w:szCs w:val="1"/>
                <w:color w:val="auto"/>
              </w:rPr>
            </w:pPr>
          </w:p>
        </w:tc>
      </w:tr>
      <w:tr>
        <w:trPr>
          <w:trHeight w:val="185"/>
        </w:trPr>
        <w:tc>
          <w:tcPr>
            <w:tcW w:w="3980" w:type="dxa"/>
            <w:vAlign w:val="bottom"/>
          </w:tcPr>
          <w:p>
            <w:pPr>
              <w:jc w:val="center"/>
              <w:ind w:left="1463"/>
              <w:spacing w:after="0"/>
              <w:rPr>
                <w:sz w:val="20"/>
                <w:szCs w:val="20"/>
                <w:color w:val="auto"/>
              </w:rPr>
            </w:pPr>
            <w:r>
              <w:rPr>
                <w:rFonts w:ascii="Arial" w:cs="Arial" w:eastAsia="Arial" w:hAnsi="Arial"/>
                <w:sz w:val="14"/>
                <w:szCs w:val="14"/>
                <w:b w:val="1"/>
                <w:bCs w:val="1"/>
                <w:color w:val="auto"/>
                <w:w w:val="93"/>
              </w:rPr>
              <w:t>(State or other jurisdiction of</w:t>
            </w:r>
          </w:p>
        </w:tc>
        <w:tc>
          <w:tcPr>
            <w:tcW w:w="5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40" w:type="dxa"/>
            <w:vAlign w:val="bottom"/>
          </w:tcPr>
          <w:p>
            <w:pPr>
              <w:jc w:val="center"/>
              <w:ind w:right="1764"/>
              <w:spacing w:after="0"/>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3980" w:type="dxa"/>
            <w:vAlign w:val="bottom"/>
          </w:tcPr>
          <w:p>
            <w:pPr>
              <w:ind w:left="1840"/>
              <w:spacing w:after="0"/>
              <w:rPr>
                <w:sz w:val="20"/>
                <w:szCs w:val="20"/>
                <w:color w:val="auto"/>
              </w:rPr>
            </w:pPr>
            <w:r>
              <w:rPr>
                <w:rFonts w:ascii="Arial" w:cs="Arial" w:eastAsia="Arial" w:hAnsi="Arial"/>
                <w:sz w:val="14"/>
                <w:szCs w:val="14"/>
                <w:b w:val="1"/>
                <w:bCs w:val="1"/>
                <w:color w:val="auto"/>
              </w:rPr>
              <w:t>incorporation or organization)</w:t>
            </w:r>
          </w:p>
        </w:tc>
        <w:tc>
          <w:tcPr>
            <w:tcW w:w="5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40" w:type="dxa"/>
            <w:vAlign w:val="bottom"/>
          </w:tcPr>
          <w:p>
            <w:pPr>
              <w:jc w:val="center"/>
              <w:ind w:right="1764"/>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303"/>
        </w:trPr>
        <w:tc>
          <w:tcPr>
            <w:tcW w:w="7300" w:type="dxa"/>
            <w:vAlign w:val="bottom"/>
            <w:gridSpan w:val="4"/>
          </w:tcPr>
          <w:p>
            <w:pPr>
              <w:jc w:val="center"/>
              <w:ind w:right="1708"/>
              <w:spacing w:after="0"/>
              <w:rPr>
                <w:sz w:val="20"/>
                <w:szCs w:val="20"/>
                <w:color w:val="auto"/>
              </w:rPr>
            </w:pPr>
            <w:r>
              <w:rPr>
                <w:rFonts w:ascii="Arial" w:cs="Arial" w:eastAsia="Arial" w:hAnsi="Arial"/>
                <w:sz w:val="16"/>
                <w:szCs w:val="16"/>
                <w:b w:val="1"/>
                <w:bCs w:val="1"/>
                <w:color w:val="auto"/>
                <w:w w:val="88"/>
              </w:rPr>
              <w:t>501 Commerce Street, Suite 1120, Nashville, Tennessee</w:t>
            </w:r>
          </w:p>
        </w:tc>
        <w:tc>
          <w:tcPr>
            <w:tcW w:w="300" w:type="dxa"/>
            <w:vAlign w:val="bottom"/>
          </w:tcPr>
          <w:p>
            <w:pPr>
              <w:spacing w:after="0"/>
              <w:rPr>
                <w:sz w:val="24"/>
                <w:szCs w:val="24"/>
                <w:color w:val="auto"/>
              </w:rPr>
            </w:pPr>
          </w:p>
        </w:tc>
        <w:tc>
          <w:tcPr>
            <w:tcW w:w="3640" w:type="dxa"/>
            <w:vAlign w:val="bottom"/>
          </w:tcPr>
          <w:p>
            <w:pPr>
              <w:jc w:val="right"/>
              <w:ind w:right="2464"/>
              <w:spacing w:after="0"/>
              <w:rPr>
                <w:sz w:val="20"/>
                <w:szCs w:val="20"/>
                <w:color w:val="auto"/>
              </w:rPr>
            </w:pPr>
            <w:r>
              <w:rPr>
                <w:rFonts w:ascii="Arial" w:cs="Arial" w:eastAsia="Arial" w:hAnsi="Arial"/>
                <w:sz w:val="16"/>
                <w:szCs w:val="16"/>
                <w:b w:val="1"/>
                <w:bCs w:val="1"/>
                <w:color w:val="auto"/>
              </w:rPr>
              <w:t>37203</w:t>
            </w:r>
          </w:p>
        </w:tc>
        <w:tc>
          <w:tcPr>
            <w:tcW w:w="0" w:type="dxa"/>
            <w:vAlign w:val="bottom"/>
          </w:tcPr>
          <w:p>
            <w:pPr>
              <w:spacing w:after="0"/>
              <w:rPr>
                <w:sz w:val="1"/>
                <w:szCs w:val="1"/>
                <w:color w:val="auto"/>
              </w:rPr>
            </w:pPr>
          </w:p>
        </w:tc>
      </w:tr>
      <w:tr>
        <w:trPr>
          <w:trHeight w:val="196"/>
        </w:trPr>
        <w:tc>
          <w:tcPr>
            <w:tcW w:w="3980" w:type="dxa"/>
            <w:vAlign w:val="bottom"/>
          </w:tcPr>
          <w:p>
            <w:pPr>
              <w:jc w:val="center"/>
              <w:ind w:left="1483"/>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40" w:type="dxa"/>
            <w:vAlign w:val="bottom"/>
          </w:tcPr>
          <w:p>
            <w:pPr>
              <w:jc w:val="center"/>
              <w:ind w:right="1784"/>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245"/>
        </w:trPr>
        <w:tc>
          <w:tcPr>
            <w:tcW w:w="3980" w:type="dxa"/>
            <w:vAlign w:val="bottom"/>
          </w:tcPr>
          <w:p>
            <w:pPr>
              <w:spacing w:after="0"/>
              <w:rPr>
                <w:sz w:val="21"/>
                <w:szCs w:val="21"/>
                <w:color w:val="auto"/>
              </w:rPr>
            </w:pPr>
          </w:p>
        </w:tc>
        <w:tc>
          <w:tcPr>
            <w:tcW w:w="2760" w:type="dxa"/>
            <w:vAlign w:val="bottom"/>
            <w:gridSpan w:val="2"/>
          </w:tcPr>
          <w:p>
            <w:pPr>
              <w:jc w:val="center"/>
              <w:ind w:left="444"/>
              <w:spacing w:after="0"/>
              <w:rPr>
                <w:sz w:val="20"/>
                <w:szCs w:val="20"/>
                <w:color w:val="auto"/>
              </w:rPr>
            </w:pPr>
            <w:r>
              <w:rPr>
                <w:rFonts w:ascii="Arial" w:cs="Arial" w:eastAsia="Arial" w:hAnsi="Arial"/>
                <w:sz w:val="16"/>
                <w:szCs w:val="16"/>
                <w:b w:val="1"/>
                <w:bCs w:val="1"/>
                <w:color w:val="auto"/>
                <w:w w:val="91"/>
              </w:rPr>
              <w:t>(913) 696-6100</w:t>
            </w: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3980" w:type="dxa"/>
            <w:vAlign w:val="bottom"/>
          </w:tcPr>
          <w:p>
            <w:pPr>
              <w:spacing w:after="0"/>
              <w:rPr>
                <w:sz w:val="16"/>
                <w:szCs w:val="16"/>
                <w:color w:val="auto"/>
              </w:rPr>
            </w:pPr>
          </w:p>
        </w:tc>
        <w:tc>
          <w:tcPr>
            <w:tcW w:w="33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0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7600" w:type="dxa"/>
            <w:vAlign w:val="bottom"/>
            <w:gridSpan w:val="5"/>
          </w:tcPr>
          <w:p>
            <w:pPr>
              <w:jc w:val="center"/>
              <w:ind w:left="3563"/>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c>
          <w:tcPr>
            <w:tcW w:w="3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3980" w:type="dxa"/>
            <w:vAlign w:val="bottom"/>
            <w:tcBorders>
              <w:bottom w:val="single" w:sz="8" w:color="auto"/>
            </w:tcBorders>
          </w:tcPr>
          <w:p>
            <w:pPr>
              <w:jc w:val="center"/>
              <w:ind w:left="303"/>
              <w:spacing w:after="0"/>
              <w:rPr>
                <w:sz w:val="20"/>
                <w:szCs w:val="20"/>
                <w:color w:val="auto"/>
              </w:rPr>
            </w:pPr>
            <w:r>
              <w:rPr>
                <w:rFonts w:ascii="Arial" w:cs="Arial" w:eastAsia="Arial" w:hAnsi="Arial"/>
                <w:sz w:val="16"/>
                <w:szCs w:val="16"/>
                <w:color w:val="auto"/>
                <w:w w:val="90"/>
              </w:rPr>
              <w:t>Title of each class</w:t>
            </w:r>
          </w:p>
        </w:tc>
        <w:tc>
          <w:tcPr>
            <w:tcW w:w="520" w:type="dxa"/>
            <w:vAlign w:val="bottom"/>
            <w:tcBorders>
              <w:bottom w:val="single" w:sz="8" w:color="auto"/>
            </w:tcBorders>
          </w:tcPr>
          <w:p>
            <w:pPr>
              <w:spacing w:after="0"/>
              <w:rPr>
                <w:sz w:val="23"/>
                <w:szCs w:val="23"/>
                <w:color w:val="auto"/>
              </w:rPr>
            </w:pPr>
          </w:p>
        </w:tc>
        <w:tc>
          <w:tcPr>
            <w:tcW w:w="2800" w:type="dxa"/>
            <w:vAlign w:val="bottom"/>
            <w:tcBorders>
              <w:bottom w:val="single" w:sz="8" w:color="auto"/>
            </w:tcBorders>
            <w:gridSpan w:val="2"/>
          </w:tcPr>
          <w:p>
            <w:pPr>
              <w:jc w:val="center"/>
              <w:ind w:right="8"/>
              <w:spacing w:after="0"/>
              <w:rPr>
                <w:sz w:val="20"/>
                <w:szCs w:val="20"/>
                <w:color w:val="auto"/>
              </w:rPr>
            </w:pPr>
            <w:r>
              <w:rPr>
                <w:rFonts w:ascii="Arial" w:cs="Arial" w:eastAsia="Arial" w:hAnsi="Arial"/>
                <w:sz w:val="16"/>
                <w:szCs w:val="16"/>
                <w:color w:val="auto"/>
                <w:w w:val="94"/>
              </w:rPr>
              <w:t>Trading Symbol(s)</w:t>
            </w:r>
          </w:p>
        </w:tc>
        <w:tc>
          <w:tcPr>
            <w:tcW w:w="300" w:type="dxa"/>
            <w:vAlign w:val="bottom"/>
            <w:tcBorders>
              <w:bottom w:val="single" w:sz="8" w:color="auto"/>
            </w:tcBorders>
          </w:tcPr>
          <w:p>
            <w:pPr>
              <w:spacing w:after="0"/>
              <w:rPr>
                <w:sz w:val="23"/>
                <w:szCs w:val="23"/>
                <w:color w:val="auto"/>
              </w:rPr>
            </w:pPr>
          </w:p>
        </w:tc>
        <w:tc>
          <w:tcPr>
            <w:tcW w:w="3640" w:type="dxa"/>
            <w:vAlign w:val="bottom"/>
            <w:tcBorders>
              <w:bottom w:val="single" w:sz="8" w:color="auto"/>
            </w:tcBorders>
          </w:tcPr>
          <w:p>
            <w:pPr>
              <w:jc w:val="center"/>
              <w:ind w:right="204"/>
              <w:spacing w:after="0"/>
              <w:rPr>
                <w:sz w:val="20"/>
                <w:szCs w:val="20"/>
                <w:color w:val="auto"/>
              </w:rPr>
            </w:pPr>
            <w:r>
              <w:rPr>
                <w:rFonts w:ascii="Arial" w:cs="Arial" w:eastAsia="Arial" w:hAnsi="Arial"/>
                <w:sz w:val="16"/>
                <w:szCs w:val="16"/>
                <w:color w:val="auto"/>
                <w:w w:val="90"/>
              </w:rPr>
              <w:t>Name of each exchange on which registered</w:t>
            </w:r>
          </w:p>
        </w:tc>
        <w:tc>
          <w:tcPr>
            <w:tcW w:w="0" w:type="dxa"/>
            <w:vAlign w:val="bottom"/>
          </w:tcPr>
          <w:p>
            <w:pPr>
              <w:spacing w:after="0"/>
              <w:rPr>
                <w:sz w:val="1"/>
                <w:szCs w:val="1"/>
                <w:color w:val="auto"/>
              </w:rPr>
            </w:pPr>
          </w:p>
        </w:tc>
      </w:tr>
      <w:tr>
        <w:trPr>
          <w:trHeight w:val="210"/>
        </w:trPr>
        <w:tc>
          <w:tcPr>
            <w:tcW w:w="3980" w:type="dxa"/>
            <w:vAlign w:val="bottom"/>
          </w:tcPr>
          <w:p>
            <w:pPr>
              <w:jc w:val="center"/>
              <w:ind w:left="303"/>
              <w:spacing w:after="0"/>
              <w:rPr>
                <w:sz w:val="20"/>
                <w:szCs w:val="20"/>
                <w:color w:val="auto"/>
              </w:rPr>
            </w:pPr>
            <w:r>
              <w:rPr>
                <w:rFonts w:ascii="Arial" w:cs="Arial" w:eastAsia="Arial" w:hAnsi="Arial"/>
                <w:sz w:val="16"/>
                <w:szCs w:val="16"/>
                <w:color w:val="auto"/>
                <w:w w:val="90"/>
              </w:rPr>
              <w:t>Common Stock, $0.01 par value per share</w:t>
            </w:r>
          </w:p>
        </w:tc>
        <w:tc>
          <w:tcPr>
            <w:tcW w:w="520" w:type="dxa"/>
            <w:vAlign w:val="bottom"/>
          </w:tcPr>
          <w:p>
            <w:pPr>
              <w:spacing w:after="0"/>
              <w:rPr>
                <w:sz w:val="18"/>
                <w:szCs w:val="18"/>
                <w:color w:val="auto"/>
              </w:rPr>
            </w:pPr>
          </w:p>
        </w:tc>
        <w:tc>
          <w:tcPr>
            <w:tcW w:w="2800" w:type="dxa"/>
            <w:vAlign w:val="bottom"/>
            <w:gridSpan w:val="2"/>
          </w:tcPr>
          <w:p>
            <w:pPr>
              <w:jc w:val="center"/>
              <w:ind w:right="8"/>
              <w:spacing w:after="0"/>
              <w:rPr>
                <w:sz w:val="20"/>
                <w:szCs w:val="20"/>
                <w:color w:val="auto"/>
              </w:rPr>
            </w:pPr>
            <w:r>
              <w:rPr>
                <w:rFonts w:ascii="Arial" w:cs="Arial" w:eastAsia="Arial" w:hAnsi="Arial"/>
                <w:sz w:val="16"/>
                <w:szCs w:val="16"/>
                <w:color w:val="auto"/>
              </w:rPr>
              <w:t>YELL</w:t>
            </w:r>
          </w:p>
        </w:tc>
        <w:tc>
          <w:tcPr>
            <w:tcW w:w="300" w:type="dxa"/>
            <w:vAlign w:val="bottom"/>
          </w:tcPr>
          <w:p>
            <w:pPr>
              <w:spacing w:after="0"/>
              <w:rPr>
                <w:sz w:val="18"/>
                <w:szCs w:val="18"/>
                <w:color w:val="auto"/>
              </w:rPr>
            </w:pPr>
          </w:p>
        </w:tc>
        <w:tc>
          <w:tcPr>
            <w:tcW w:w="3640" w:type="dxa"/>
            <w:vAlign w:val="bottom"/>
          </w:tcPr>
          <w:p>
            <w:pPr>
              <w:jc w:val="center"/>
              <w:ind w:right="204"/>
              <w:spacing w:after="0"/>
              <w:rPr>
                <w:sz w:val="20"/>
                <w:szCs w:val="20"/>
                <w:color w:val="auto"/>
              </w:rPr>
            </w:pPr>
            <w:r>
              <w:rPr>
                <w:rFonts w:ascii="Arial" w:cs="Arial" w:eastAsia="Arial" w:hAnsi="Arial"/>
                <w:sz w:val="16"/>
                <w:szCs w:val="16"/>
                <w:color w:val="auto"/>
                <w:w w:val="96"/>
              </w:rPr>
              <w:t>The NASDAQ Stock Market LLC</w:t>
            </w:r>
          </w:p>
        </w:tc>
        <w:tc>
          <w:tcPr>
            <w:tcW w:w="0" w:type="dxa"/>
            <w:vAlign w:val="bottom"/>
          </w:tcPr>
          <w:p>
            <w:pPr>
              <w:spacing w:after="0"/>
              <w:rPr>
                <w:sz w:val="1"/>
                <w:szCs w:val="1"/>
                <w:color w:val="auto"/>
              </w:rPr>
            </w:pPr>
          </w:p>
        </w:tc>
      </w:tr>
      <w:tr>
        <w:trPr>
          <w:trHeight w:val="256"/>
        </w:trPr>
        <w:tc>
          <w:tcPr>
            <w:tcW w:w="11240" w:type="dxa"/>
            <w:vAlign w:val="bottom"/>
            <w:gridSpan w:val="6"/>
          </w:tcPr>
          <w:p>
            <w:pPr>
              <w:jc w:val="center"/>
              <w:spacing w:after="0"/>
              <w:rPr>
                <w:sz w:val="20"/>
                <w:szCs w:val="20"/>
                <w:color w:val="auto"/>
              </w:rPr>
            </w:pPr>
            <w:r>
              <w:rPr>
                <w:rFonts w:ascii="Arial" w:cs="Arial" w:eastAsia="Arial" w:hAnsi="Arial"/>
                <w:sz w:val="16"/>
                <w:szCs w:val="16"/>
                <w:b w:val="1"/>
                <w:bCs w:val="1"/>
                <w:color w:val="auto"/>
                <w:w w:val="91"/>
              </w:rPr>
              <w:t>Securities registered pursuant to Section 12(g) of the Act: NONE</w:t>
            </w:r>
          </w:p>
        </w:tc>
        <w:tc>
          <w:tcPr>
            <w:tcW w:w="0" w:type="dxa"/>
            <w:vAlign w:val="bottom"/>
          </w:tcPr>
          <w:p>
            <w:pPr>
              <w:spacing w:after="0"/>
              <w:rPr>
                <w:sz w:val="1"/>
                <w:szCs w:val="1"/>
                <w:color w:val="auto"/>
              </w:rPr>
            </w:pPr>
          </w:p>
        </w:tc>
      </w:tr>
      <w:tr>
        <w:trPr>
          <w:trHeight w:val="73"/>
        </w:trPr>
        <w:tc>
          <w:tcPr>
            <w:tcW w:w="4500" w:type="dxa"/>
            <w:vAlign w:val="bottom"/>
            <w:gridSpan w:val="2"/>
          </w:tcPr>
          <w:p>
            <w:pPr>
              <w:spacing w:after="0"/>
              <w:rPr>
                <w:sz w:val="6"/>
                <w:szCs w:val="6"/>
                <w:color w:val="auto"/>
              </w:rPr>
            </w:pPr>
          </w:p>
        </w:tc>
        <w:tc>
          <w:tcPr>
            <w:tcW w:w="2240" w:type="dxa"/>
            <w:vAlign w:val="bottom"/>
            <w:tcBorders>
              <w:bottom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3640" w:type="dxa"/>
            <w:vAlign w:val="bottom"/>
            <w:vMerge w:val="restart"/>
          </w:tcPr>
          <w:p>
            <w:pPr>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0" w:type="dxa"/>
            <w:vAlign w:val="bottom"/>
          </w:tcPr>
          <w:p>
            <w:pPr>
              <w:spacing w:after="0"/>
              <w:rPr>
                <w:sz w:val="1"/>
                <w:szCs w:val="1"/>
                <w:color w:val="auto"/>
              </w:rPr>
            </w:pPr>
          </w:p>
        </w:tc>
      </w:tr>
      <w:tr>
        <w:trPr>
          <w:trHeight w:val="204"/>
        </w:trPr>
        <w:tc>
          <w:tcPr>
            <w:tcW w:w="6740" w:type="dxa"/>
            <w:vAlign w:val="bottom"/>
            <w:gridSpan w:val="3"/>
          </w:tcPr>
          <w:p>
            <w:pPr>
              <w:spacing w:after="0"/>
              <w:rPr>
                <w:sz w:val="20"/>
                <w:szCs w:val="20"/>
                <w:color w:val="auto"/>
              </w:rPr>
            </w:pPr>
            <w:r>
              <w:rPr>
                <w:rFonts w:ascii="Arial" w:cs="Arial" w:eastAsia="Arial" w:hAnsi="Arial"/>
                <w:sz w:val="14"/>
                <w:szCs w:val="14"/>
                <w:color w:val="auto"/>
                <w:w w:val="93"/>
              </w:rPr>
              <w:t>Indicate by check mark if the registrant is a well-known seasoned issuer as defined in Rule 405 of the Securities Act.</w:t>
            </w:r>
          </w:p>
        </w:tc>
        <w:tc>
          <w:tcPr>
            <w:tcW w:w="560" w:type="dxa"/>
            <w:vAlign w:val="bottom"/>
          </w:tcPr>
          <w:p>
            <w:pPr>
              <w:ind w:left="60"/>
              <w:spacing w:after="0" w:line="188" w:lineRule="exact"/>
              <w:rPr>
                <w:sz w:val="20"/>
                <w:szCs w:val="20"/>
                <w:color w:val="auto"/>
              </w:rPr>
            </w:pPr>
            <w:r>
              <w:rPr>
                <w:rFonts w:ascii="Arial" w:cs="Arial" w:eastAsia="Arial" w:hAnsi="Arial"/>
                <w:sz w:val="14"/>
                <w:szCs w:val="14"/>
                <w:color w:val="auto"/>
              </w:rPr>
              <w:t xml:space="preserve">Yes </w:t>
            </w:r>
            <w:r>
              <w:rPr>
                <w:rFonts w:ascii="Arial Unicode MS" w:cs="Arial Unicode MS" w:eastAsia="Arial Unicode MS" w:hAnsi="Arial Unicode MS"/>
                <w:sz w:val="14"/>
                <w:szCs w:val="14"/>
                <w:color w:val="auto"/>
              </w:rPr>
              <w:t>☐</w:t>
            </w:r>
          </w:p>
        </w:tc>
        <w:tc>
          <w:tcPr>
            <w:tcW w:w="300" w:type="dxa"/>
            <w:vAlign w:val="bottom"/>
          </w:tcPr>
          <w:p>
            <w:pPr>
              <w:ind w:left="60"/>
              <w:spacing w:after="0"/>
              <w:rPr>
                <w:sz w:val="20"/>
                <w:szCs w:val="20"/>
                <w:color w:val="auto"/>
              </w:rPr>
            </w:pPr>
            <w:r>
              <w:rPr>
                <w:rFonts w:ascii="Arial" w:cs="Arial" w:eastAsia="Arial" w:hAnsi="Arial"/>
                <w:sz w:val="14"/>
                <w:szCs w:val="14"/>
                <w:color w:val="auto"/>
              </w:rPr>
              <w:t>No</w:t>
            </w:r>
          </w:p>
        </w:tc>
        <w:tc>
          <w:tcPr>
            <w:tcW w:w="3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300" w:type="dxa"/>
            <w:vAlign w:val="bottom"/>
            <w:gridSpan w:val="4"/>
          </w:tcPr>
          <w:p>
            <w:pPr>
              <w:spacing w:after="0"/>
              <w:rPr>
                <w:sz w:val="20"/>
                <w:szCs w:val="20"/>
                <w:color w:val="auto"/>
              </w:rPr>
            </w:pPr>
            <w:r>
              <w:rPr>
                <w:rFonts w:ascii="Arial" w:cs="Arial" w:eastAsia="Arial" w:hAnsi="Arial"/>
                <w:sz w:val="14"/>
                <w:szCs w:val="14"/>
                <w:color w:val="auto"/>
                <w:w w:val="93"/>
              </w:rPr>
              <w:t>Indicate by check mark if the registrant is not required to file reports pursuant to Section 13 or 15(d) of the Exchange Act. Yes</w:t>
            </w:r>
          </w:p>
        </w:tc>
        <w:tc>
          <w:tcPr>
            <w:tcW w:w="300" w:type="dxa"/>
            <w:vAlign w:val="bottom"/>
          </w:tcPr>
          <w:p>
            <w:pPr>
              <w:ind w:left="4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3640" w:type="dxa"/>
            <w:vAlign w:val="bottom"/>
          </w:tcPr>
          <w:p>
            <w:pPr>
              <w:ind w:left="20"/>
              <w:spacing w:after="0" w:line="188" w:lineRule="exact"/>
              <w:rPr>
                <w:sz w:val="20"/>
                <w:szCs w:val="20"/>
                <w:color w:val="auto"/>
              </w:rPr>
            </w:pPr>
            <w:r>
              <w:rPr>
                <w:rFonts w:ascii="Arial" w:cs="Arial" w:eastAsia="Arial" w:hAnsi="Arial"/>
                <w:sz w:val="14"/>
                <w:szCs w:val="14"/>
                <w:color w:val="auto"/>
              </w:rPr>
              <w:t xml:space="preserve">No </w:t>
            </w:r>
            <w:r>
              <w:rPr>
                <w:rFonts w:ascii="Arial Unicode MS" w:cs="Arial Unicode MS" w:eastAsia="Arial Unicode MS" w:hAnsi="Arial Unicode MS"/>
                <w:sz w:val="14"/>
                <w:szCs w:val="14"/>
                <w:color w:val="auto"/>
              </w:rPr>
              <w:t>☒</w:t>
            </w:r>
          </w:p>
        </w:tc>
        <w:tc>
          <w:tcPr>
            <w:tcW w:w="0" w:type="dxa"/>
            <w:vAlign w:val="bottom"/>
          </w:tcPr>
          <w:p>
            <w:pPr>
              <w:spacing w:after="0"/>
              <w:rPr>
                <w:sz w:val="1"/>
                <w:szCs w:val="1"/>
                <w:color w:val="auto"/>
              </w:rPr>
            </w:pPr>
          </w:p>
        </w:tc>
      </w:tr>
    </w:tbl>
    <w:p>
      <w:pPr>
        <w:spacing w:after="0" w:line="4" w:lineRule="exact"/>
        <w:rPr>
          <w:sz w:val="24"/>
          <w:szCs w:val="24"/>
          <w:color w:val="auto"/>
        </w:rPr>
      </w:pPr>
    </w:p>
    <w:p>
      <w:pPr>
        <w:jc w:val="both"/>
        <w:ind w:right="2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1" w:lineRule="exact"/>
        <w:rPr>
          <w:sz w:val="24"/>
          <w:szCs w:val="24"/>
          <w:color w:val="auto"/>
        </w:rPr>
      </w:pPr>
    </w:p>
    <w:p>
      <w:pPr>
        <w:jc w:val="both"/>
        <w:ind w:right="20"/>
        <w:spacing w:after="0" w:line="17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5" w:lineRule="exact"/>
        <w:rPr>
          <w:sz w:val="24"/>
          <w:szCs w:val="24"/>
          <w:color w:val="auto"/>
        </w:rPr>
      </w:pPr>
    </w:p>
    <w:p>
      <w:pPr>
        <w:jc w:val="both"/>
        <w:spacing w:after="0" w:line="252"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7" w:lineRule="exact"/>
        <w:rPr>
          <w:sz w:val="24"/>
          <w:szCs w:val="24"/>
          <w:color w:val="auto"/>
        </w:rPr>
      </w:pPr>
    </w:p>
    <w:tbl>
      <w:tblPr>
        <w:tblLayout w:type="fixed"/>
        <w:tblInd w:w="20" w:type="dxa"/>
        <w:tblCellMar>
          <w:top w:w="0" w:type="dxa"/>
          <w:left w:w="0" w:type="dxa"/>
          <w:bottom w:w="0" w:type="dxa"/>
          <w:right w:w="0" w:type="dxa"/>
        </w:tblCellMar>
      </w:tblPr>
      <w:tr>
        <w:trPr>
          <w:trHeight w:val="202"/>
        </w:trPr>
        <w:tc>
          <w:tcPr>
            <w:tcW w:w="21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480" w:type="dxa"/>
            <w:vAlign w:val="bottom"/>
          </w:tcPr>
          <w:p>
            <w:pPr>
              <w:ind w:left="82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4780" w:type="dxa"/>
            <w:vAlign w:val="bottom"/>
          </w:tcPr>
          <w:p>
            <w:pPr>
              <w:ind w:left="2540"/>
              <w:spacing w:after="0"/>
              <w:rPr>
                <w:sz w:val="20"/>
                <w:szCs w:val="20"/>
                <w:color w:val="auto"/>
              </w:rPr>
            </w:pPr>
            <w:r>
              <w:rPr>
                <w:rFonts w:ascii="Arial" w:cs="Arial" w:eastAsia="Arial" w:hAnsi="Arial"/>
                <w:sz w:val="14"/>
                <w:szCs w:val="14"/>
                <w:color w:val="auto"/>
              </w:rPr>
              <w:t>Accelerated filer</w:t>
            </w:r>
          </w:p>
        </w:tc>
        <w:tc>
          <w:tcPr>
            <w:tcW w:w="780" w:type="dxa"/>
            <w:vAlign w:val="bottom"/>
          </w:tcPr>
          <w:p>
            <w:pPr>
              <w:ind w:left="660"/>
              <w:spacing w:after="0" w:line="188" w:lineRule="exact"/>
              <w:rPr>
                <w:sz w:val="20"/>
                <w:szCs w:val="20"/>
                <w:color w:val="auto"/>
              </w:rPr>
            </w:pPr>
            <w:r>
              <w:rPr>
                <w:rFonts w:ascii="Arial Unicode MS" w:cs="Arial Unicode MS" w:eastAsia="Arial Unicode MS" w:hAnsi="Arial Unicode MS"/>
                <w:sz w:val="14"/>
                <w:szCs w:val="14"/>
                <w:color w:val="auto"/>
                <w:w w:val="96"/>
              </w:rPr>
              <w:t>☒</w:t>
            </w:r>
          </w:p>
        </w:tc>
      </w:tr>
      <w:tr>
        <w:trPr>
          <w:trHeight w:val="202"/>
        </w:trPr>
        <w:tc>
          <w:tcPr>
            <w:tcW w:w="2100" w:type="dxa"/>
            <w:vAlign w:val="bottom"/>
          </w:tcPr>
          <w:p>
            <w:pPr>
              <w:spacing w:after="0"/>
              <w:rPr>
                <w:sz w:val="20"/>
                <w:szCs w:val="20"/>
                <w:color w:val="auto"/>
              </w:rPr>
            </w:pPr>
            <w:r>
              <w:rPr>
                <w:rFonts w:ascii="Arial" w:cs="Arial" w:eastAsia="Arial" w:hAnsi="Arial"/>
                <w:sz w:val="14"/>
                <w:szCs w:val="14"/>
                <w:color w:val="auto"/>
              </w:rPr>
              <w:t>Non-accelerated filer</w:t>
            </w:r>
          </w:p>
        </w:tc>
        <w:tc>
          <w:tcPr>
            <w:tcW w:w="3480" w:type="dxa"/>
            <w:vAlign w:val="bottom"/>
          </w:tcPr>
          <w:p>
            <w:pPr>
              <w:ind w:left="82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4780" w:type="dxa"/>
            <w:vAlign w:val="bottom"/>
          </w:tcPr>
          <w:p>
            <w:pPr>
              <w:ind w:left="2540"/>
              <w:spacing w:after="0"/>
              <w:rPr>
                <w:sz w:val="20"/>
                <w:szCs w:val="20"/>
                <w:color w:val="auto"/>
              </w:rPr>
            </w:pPr>
            <w:r>
              <w:rPr>
                <w:rFonts w:ascii="Arial" w:cs="Arial" w:eastAsia="Arial" w:hAnsi="Arial"/>
                <w:sz w:val="14"/>
                <w:szCs w:val="14"/>
                <w:color w:val="auto"/>
              </w:rPr>
              <w:t>Smaller reporting company</w:t>
            </w:r>
          </w:p>
        </w:tc>
        <w:tc>
          <w:tcPr>
            <w:tcW w:w="780" w:type="dxa"/>
            <w:vAlign w:val="bottom"/>
          </w:tcPr>
          <w:p>
            <w:pPr>
              <w:ind w:left="660"/>
              <w:spacing w:after="0" w:line="188" w:lineRule="exact"/>
              <w:rPr>
                <w:sz w:val="20"/>
                <w:szCs w:val="20"/>
                <w:color w:val="auto"/>
              </w:rPr>
            </w:pPr>
            <w:r>
              <w:rPr>
                <w:rFonts w:ascii="Arial Unicode MS" w:cs="Arial Unicode MS" w:eastAsia="Arial Unicode MS" w:hAnsi="Arial Unicode MS"/>
                <w:sz w:val="14"/>
                <w:szCs w:val="14"/>
                <w:color w:val="auto"/>
                <w:w w:val="96"/>
              </w:rPr>
              <w:t>☐</w:t>
            </w:r>
          </w:p>
        </w:tc>
      </w:tr>
      <w:tr>
        <w:trPr>
          <w:trHeight w:val="225"/>
        </w:trPr>
        <w:tc>
          <w:tcPr>
            <w:tcW w:w="210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4780" w:type="dxa"/>
            <w:vAlign w:val="bottom"/>
          </w:tcPr>
          <w:p>
            <w:pPr>
              <w:ind w:left="2540"/>
              <w:spacing w:after="0"/>
              <w:rPr>
                <w:sz w:val="20"/>
                <w:szCs w:val="20"/>
                <w:color w:val="auto"/>
              </w:rPr>
            </w:pPr>
            <w:r>
              <w:rPr>
                <w:rFonts w:ascii="Arial" w:cs="Arial" w:eastAsia="Arial" w:hAnsi="Arial"/>
                <w:sz w:val="14"/>
                <w:szCs w:val="14"/>
                <w:color w:val="auto"/>
              </w:rPr>
              <w:t>Emerging growth company</w:t>
            </w:r>
          </w:p>
        </w:tc>
        <w:tc>
          <w:tcPr>
            <w:tcW w:w="780" w:type="dxa"/>
            <w:vAlign w:val="bottom"/>
          </w:tcPr>
          <w:p>
            <w:pPr>
              <w:ind w:left="660"/>
              <w:spacing w:after="0" w:line="188" w:lineRule="exact"/>
              <w:rPr>
                <w:sz w:val="20"/>
                <w:szCs w:val="20"/>
                <w:color w:val="auto"/>
              </w:rPr>
            </w:pPr>
            <w:r>
              <w:rPr>
                <w:rFonts w:ascii="Arial Unicode MS" w:cs="Arial Unicode MS" w:eastAsia="Arial Unicode MS" w:hAnsi="Arial Unicode MS"/>
                <w:sz w:val="14"/>
                <w:szCs w:val="14"/>
                <w:color w:val="auto"/>
                <w:w w:val="96"/>
              </w:rPr>
              <w:t>☐</w:t>
            </w:r>
          </w:p>
        </w:tc>
      </w:tr>
    </w:tbl>
    <w:p>
      <w:pPr>
        <w:spacing w:after="0" w:line="126" w:lineRule="exact"/>
        <w:rPr>
          <w:sz w:val="24"/>
          <w:szCs w:val="24"/>
          <w:color w:val="auto"/>
        </w:rPr>
      </w:pPr>
    </w:p>
    <w:p>
      <w:pPr>
        <w:jc w:val="both"/>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spacing w:after="0" w:line="19" w:lineRule="exact"/>
        <w:rPr>
          <w:sz w:val="24"/>
          <w:szCs w:val="24"/>
          <w:color w:val="auto"/>
        </w:rPr>
      </w:pPr>
    </w:p>
    <w:p>
      <w:pPr>
        <w:ind w:right="60"/>
        <w:spacing w:after="0" w:line="180"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4"/>
          <w:szCs w:val="14"/>
          <w:color w:val="auto"/>
        </w:rPr>
        <w:t>☒</w:t>
      </w:r>
    </w:p>
    <w:p>
      <w:pPr>
        <w:spacing w:after="0" w:line="19" w:lineRule="exact"/>
        <w:rPr>
          <w:sz w:val="24"/>
          <w:szCs w:val="24"/>
          <w:color w:val="auto"/>
        </w:rPr>
      </w:pPr>
    </w:p>
    <w:p>
      <w:pPr>
        <w:ind w:right="140"/>
        <w:spacing w:after="0" w:line="180"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4"/>
          <w:szCs w:val="14"/>
          <w:color w:val="auto"/>
        </w:rPr>
        <w:t>☐</w:t>
      </w:r>
    </w:p>
    <w:p>
      <w:pPr>
        <w:spacing w:after="0" w:line="262" w:lineRule="exact"/>
        <w:rPr>
          <w:sz w:val="24"/>
          <w:szCs w:val="24"/>
          <w:color w:val="auto"/>
        </w:rPr>
      </w:pPr>
    </w:p>
    <w:p>
      <w:pPr>
        <w:ind w:right="300"/>
        <w:spacing w:after="0" w:line="180" w:lineRule="exact"/>
        <w:rPr>
          <w:sz w:val="20"/>
          <w:szCs w:val="20"/>
          <w:color w:val="auto"/>
        </w:rPr>
      </w:pPr>
      <w:r>
        <w:rPr>
          <w:rFonts w:ascii="Arial" w:cs="Arial" w:eastAsia="Arial" w:hAnsi="Arial"/>
          <w:sz w:val="14"/>
          <w:szCs w:val="14"/>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4"/>
          <w:szCs w:val="14"/>
          <w:color w:val="auto"/>
        </w:rPr>
        <w:t>ﬃ</w:t>
      </w:r>
      <w:r>
        <w:rPr>
          <w:rFonts w:ascii="Arial" w:cs="Arial" w:eastAsia="Arial" w:hAnsi="Arial"/>
          <w:sz w:val="14"/>
          <w:szCs w:val="14"/>
          <w:color w:val="auto"/>
        </w:rPr>
        <w:t xml:space="preserve">cers during the relevant recovery period pursuant to §240.10D-1(b). </w:t>
      </w:r>
      <w:r>
        <w:rPr>
          <w:rFonts w:ascii="Arial Unicode MS" w:cs="Arial Unicode MS" w:eastAsia="Arial Unicode MS" w:hAnsi="Arial Unicode MS"/>
          <w:sz w:val="14"/>
          <w:szCs w:val="14"/>
          <w:color w:val="auto"/>
        </w:rPr>
        <w:t>☐</w:t>
      </w:r>
    </w:p>
    <w:p>
      <w:pPr>
        <w:spacing w:after="0" w:line="99" w:lineRule="exact"/>
        <w:rPr>
          <w:sz w:val="24"/>
          <w:szCs w:val="24"/>
          <w:color w:val="auto"/>
        </w:rPr>
      </w:pPr>
    </w:p>
    <w:p>
      <w:pPr>
        <w:spacing w:after="0" w:line="188" w:lineRule="exact"/>
        <w:tabs>
          <w:tab w:leader="none" w:pos="712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ab/>
        <w:t xml:space="preserve">No </w:t>
      </w:r>
      <w:r>
        <w:rPr>
          <w:rFonts w:ascii="Arial Unicode MS" w:cs="Arial Unicode MS" w:eastAsia="Arial Unicode MS" w:hAnsi="Arial Unicode MS"/>
          <w:sz w:val="14"/>
          <w:szCs w:val="14"/>
          <w:color w:val="auto"/>
        </w:rPr>
        <w:t>☒</w:t>
      </w:r>
    </w:p>
    <w:p>
      <w:pPr>
        <w:spacing w:after="0" w:line="42" w:lineRule="exact"/>
        <w:rPr>
          <w:sz w:val="24"/>
          <w:szCs w:val="24"/>
          <w:color w:val="auto"/>
        </w:rPr>
      </w:pPr>
    </w:p>
    <w:p>
      <w:pPr>
        <w:jc w:val="both"/>
        <w:spacing w:after="0" w:line="252" w:lineRule="auto"/>
        <w:rPr>
          <w:sz w:val="20"/>
          <w:szCs w:val="20"/>
          <w:color w:val="auto"/>
        </w:rPr>
      </w:pPr>
      <w:r>
        <w:rPr>
          <w:rFonts w:ascii="Arial" w:cs="Arial" w:eastAsia="Arial" w:hAnsi="Arial"/>
          <w:sz w:val="14"/>
          <w:szCs w:val="14"/>
          <w:color w:val="auto"/>
        </w:rPr>
        <w:t>As of June 30, 2022, the aggregate market value of the registrant’s common stock held by non-affiliates of the registrant was $104.0 million based on the closing price as reported on the NASDAQ Global Select Market.</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7300" w:type="dxa"/>
            <w:vAlign w:val="bottom"/>
            <w:gridSpan w:val="3"/>
          </w:tcPr>
          <w:p>
            <w:pPr>
              <w:spacing w:after="0"/>
              <w:rPr>
                <w:sz w:val="20"/>
                <w:szCs w:val="20"/>
                <w:color w:val="auto"/>
              </w:rPr>
            </w:pPr>
            <w:r>
              <w:rPr>
                <w:rFonts w:ascii="Arial" w:cs="Arial" w:eastAsia="Arial" w:hAnsi="Arial"/>
                <w:sz w:val="14"/>
                <w:szCs w:val="14"/>
                <w:color w:val="auto"/>
                <w:w w:val="94"/>
              </w:rPr>
              <w:t>Indicate the number of shares outstanding of each of the issuer’s classes of common stock, as of the latest practicable date.</w:t>
            </w:r>
          </w:p>
        </w:tc>
        <w:tc>
          <w:tcPr>
            <w:tcW w:w="26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174"/>
        </w:trPr>
        <w:tc>
          <w:tcPr>
            <w:tcW w:w="2600" w:type="dxa"/>
            <w:vAlign w:val="bottom"/>
          </w:tcPr>
          <w:p>
            <w:pPr>
              <w:spacing w:after="0"/>
              <w:rPr>
                <w:sz w:val="15"/>
                <w:szCs w:val="15"/>
                <w:color w:val="auto"/>
              </w:rPr>
            </w:pPr>
          </w:p>
        </w:tc>
        <w:tc>
          <w:tcPr>
            <w:tcW w:w="4700" w:type="dxa"/>
            <w:vAlign w:val="bottom"/>
            <w:gridSpan w:val="2"/>
          </w:tcPr>
          <w:p>
            <w:pPr>
              <w:jc w:val="center"/>
              <w:ind w:right="4380"/>
              <w:spacing w:after="0"/>
              <w:rPr>
                <w:sz w:val="20"/>
                <w:szCs w:val="20"/>
                <w:color w:val="auto"/>
              </w:rPr>
            </w:pPr>
            <w:r>
              <w:rPr>
                <w:rFonts w:ascii="Arial" w:cs="Arial" w:eastAsia="Arial" w:hAnsi="Arial"/>
                <w:sz w:val="14"/>
                <w:szCs w:val="14"/>
                <w:color w:val="auto"/>
                <w:w w:val="91"/>
              </w:rPr>
              <w:t>Class</w:t>
            </w:r>
          </w:p>
        </w:tc>
        <w:tc>
          <w:tcPr>
            <w:tcW w:w="2120" w:type="dxa"/>
            <w:vAlign w:val="bottom"/>
            <w:gridSpan w:val="2"/>
          </w:tcPr>
          <w:p>
            <w:pPr>
              <w:jc w:val="center"/>
              <w:ind w:left="188"/>
              <w:spacing w:after="0"/>
              <w:rPr>
                <w:sz w:val="20"/>
                <w:szCs w:val="20"/>
                <w:color w:val="auto"/>
              </w:rPr>
            </w:pPr>
            <w:r>
              <w:rPr>
                <w:rFonts w:ascii="Arial" w:cs="Arial" w:eastAsia="Arial" w:hAnsi="Arial"/>
                <w:sz w:val="14"/>
                <w:szCs w:val="14"/>
                <w:color w:val="auto"/>
                <w:w w:val="92"/>
              </w:rPr>
              <w:t>Outstanding at February 6, 2023</w:t>
            </w:r>
          </w:p>
        </w:tc>
      </w:tr>
      <w:tr>
        <w:trPr>
          <w:trHeight w:val="20"/>
        </w:trPr>
        <w:tc>
          <w:tcPr>
            <w:tcW w:w="26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r>
      <w:tr>
        <w:trPr>
          <w:trHeight w:val="184"/>
        </w:trPr>
        <w:tc>
          <w:tcPr>
            <w:tcW w:w="7300" w:type="dxa"/>
            <w:vAlign w:val="bottom"/>
            <w:gridSpan w:val="3"/>
          </w:tcPr>
          <w:p>
            <w:pPr>
              <w:jc w:val="center"/>
              <w:ind w:right="1760"/>
              <w:spacing w:after="0"/>
              <w:rPr>
                <w:sz w:val="20"/>
                <w:szCs w:val="20"/>
                <w:color w:val="auto"/>
              </w:rPr>
            </w:pPr>
            <w:r>
              <w:rPr>
                <w:rFonts w:ascii="Arial" w:cs="Arial" w:eastAsia="Arial" w:hAnsi="Arial"/>
                <w:sz w:val="14"/>
                <w:szCs w:val="14"/>
                <w:color w:val="auto"/>
                <w:w w:val="91"/>
              </w:rPr>
              <w:t>Common Stock, $0.01 par value per share</w:t>
            </w:r>
          </w:p>
        </w:tc>
        <w:tc>
          <w:tcPr>
            <w:tcW w:w="260" w:type="dxa"/>
            <w:vAlign w:val="bottom"/>
          </w:tcPr>
          <w:p>
            <w:pPr>
              <w:spacing w:after="0"/>
              <w:rPr>
                <w:sz w:val="15"/>
                <w:szCs w:val="15"/>
                <w:color w:val="auto"/>
              </w:rPr>
            </w:pPr>
          </w:p>
        </w:tc>
        <w:tc>
          <w:tcPr>
            <w:tcW w:w="1860" w:type="dxa"/>
            <w:vAlign w:val="bottom"/>
          </w:tcPr>
          <w:p>
            <w:pPr>
              <w:jc w:val="center"/>
              <w:spacing w:after="0"/>
              <w:rPr>
                <w:sz w:val="20"/>
                <w:szCs w:val="20"/>
                <w:color w:val="auto"/>
              </w:rPr>
            </w:pPr>
            <w:r>
              <w:rPr>
                <w:rFonts w:ascii="Arial" w:cs="Arial" w:eastAsia="Arial" w:hAnsi="Arial"/>
                <w:sz w:val="14"/>
                <w:szCs w:val="14"/>
                <w:color w:val="auto"/>
                <w:w w:val="89"/>
              </w:rPr>
              <w:t>51,808,732 shares</w:t>
            </w:r>
          </w:p>
        </w:tc>
      </w:tr>
    </w:tbl>
    <w:p>
      <w:pPr>
        <w:spacing w:after="0" w:line="13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25" w:lineRule="exact"/>
        <w:rPr>
          <w:sz w:val="24"/>
          <w:szCs w:val="24"/>
          <w:color w:val="auto"/>
        </w:rPr>
      </w:pPr>
    </w:p>
    <w:p>
      <w:pPr>
        <w:jc w:val="both"/>
        <w:spacing w:after="0" w:line="223" w:lineRule="auto"/>
        <w:rPr>
          <w:sz w:val="20"/>
          <w:szCs w:val="20"/>
          <w:color w:val="auto"/>
        </w:rPr>
      </w:pPr>
      <w:r>
        <w:rPr>
          <w:rFonts w:ascii="Arial" w:cs="Arial" w:eastAsia="Arial" w:hAnsi="Arial"/>
          <w:sz w:val="14"/>
          <w:szCs w:val="14"/>
          <w:color w:val="auto"/>
        </w:rPr>
        <w:t>Pursuant to General Instruction G to Form 10-K, information required by Part III of this Form 10-K, either is incorporated herein by reference to a definitive proxy statement filed with the SEC no later than 120 days after the end of the fiscal year covered by this Form 10-K or will be included in an amendment to this Form 10-K filed with the SEC no later than 120 days after the end of the fiscal year covered by this Form 10-K.</w:t>
      </w:r>
    </w:p>
    <w:p>
      <w:pPr>
        <w:spacing w:after="0" w:line="1" w:lineRule="exact"/>
        <w:rPr>
          <w:sz w:val="24"/>
          <w:szCs w:val="24"/>
          <w:color w:val="auto"/>
        </w:rPr>
      </w:pPr>
    </w:p>
    <w:p>
      <w:pPr>
        <w:ind w:left="20"/>
        <w:spacing w:after="0"/>
        <w:tabs>
          <w:tab w:leader="none" w:pos="1480" w:val="left"/>
          <w:tab w:leader="none" w:pos="3760" w:val="left"/>
          <w:tab w:leader="none" w:pos="5440" w:val="left"/>
          <w:tab w:leader="none" w:pos="8140" w:val="left"/>
          <w:tab w:leader="none" w:pos="9820" w:val="left"/>
        </w:tabs>
        <w:rPr>
          <w:sz w:val="20"/>
          <w:szCs w:val="20"/>
          <w:color w:val="auto"/>
        </w:rPr>
      </w:pPr>
      <w:r>
        <w:rPr>
          <w:rFonts w:ascii="Arial" w:cs="Arial" w:eastAsia="Arial" w:hAnsi="Arial"/>
          <w:sz w:val="14"/>
          <w:szCs w:val="14"/>
          <w:color w:val="auto"/>
        </w:rPr>
        <w:t>Auditor Name:</w:t>
      </w:r>
      <w:r>
        <w:rPr>
          <w:sz w:val="20"/>
          <w:szCs w:val="20"/>
          <w:color w:val="auto"/>
        </w:rPr>
        <w:tab/>
      </w:r>
      <w:r>
        <w:rPr>
          <w:rFonts w:ascii="Arial" w:cs="Arial" w:eastAsia="Arial" w:hAnsi="Arial"/>
          <w:sz w:val="14"/>
          <w:szCs w:val="14"/>
          <w:color w:val="auto"/>
        </w:rPr>
        <w:t>KPMG LLP</w:t>
      </w:r>
      <w:r>
        <w:rPr>
          <w:sz w:val="20"/>
          <w:szCs w:val="20"/>
          <w:color w:val="auto"/>
        </w:rPr>
        <w:tab/>
      </w:r>
      <w:r>
        <w:rPr>
          <w:rFonts w:ascii="Arial" w:cs="Arial" w:eastAsia="Arial" w:hAnsi="Arial"/>
          <w:sz w:val="14"/>
          <w:szCs w:val="14"/>
          <w:color w:val="auto"/>
        </w:rPr>
        <w:t>Auditor Location:</w:t>
      </w:r>
      <w:r>
        <w:rPr>
          <w:sz w:val="20"/>
          <w:szCs w:val="20"/>
          <w:color w:val="auto"/>
        </w:rPr>
        <w:tab/>
      </w:r>
      <w:r>
        <w:rPr>
          <w:rFonts w:ascii="Arial" w:cs="Arial" w:eastAsia="Arial" w:hAnsi="Arial"/>
          <w:sz w:val="14"/>
          <w:szCs w:val="14"/>
          <w:color w:val="auto"/>
        </w:rPr>
        <w:t>Kansas City, MO</w:t>
      </w:r>
      <w:r>
        <w:rPr>
          <w:sz w:val="20"/>
          <w:szCs w:val="20"/>
          <w:color w:val="auto"/>
        </w:rPr>
        <w:tab/>
      </w:r>
      <w:r>
        <w:rPr>
          <w:rFonts w:ascii="Arial" w:cs="Arial" w:eastAsia="Arial" w:hAnsi="Arial"/>
          <w:sz w:val="14"/>
          <w:szCs w:val="14"/>
          <w:color w:val="auto"/>
        </w:rPr>
        <w:t>Auditor Firm ID:</w:t>
      </w:r>
      <w:r>
        <w:rPr>
          <w:sz w:val="20"/>
          <w:szCs w:val="20"/>
          <w:color w:val="auto"/>
        </w:rPr>
        <w:tab/>
      </w:r>
      <w:r>
        <w:rPr>
          <w:rFonts w:ascii="Arial" w:cs="Arial" w:eastAsia="Arial" w:hAnsi="Arial"/>
          <w:sz w:val="13"/>
          <w:szCs w:val="13"/>
          <w:color w:val="auto"/>
        </w:rPr>
        <w:t>185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377190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1"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720" w:type="dxa"/>
            <w:vAlign w:val="bottom"/>
            <w:gridSpan w:val="7"/>
          </w:tcPr>
          <w:p>
            <w:pPr>
              <w:jc w:val="center"/>
              <w:ind w:right="4480"/>
              <w:spacing w:after="0"/>
              <w:rPr>
                <w:sz w:val="20"/>
                <w:szCs w:val="20"/>
                <w:color w:val="auto"/>
              </w:rPr>
            </w:pPr>
            <w:r>
              <w:rPr>
                <w:rFonts w:ascii="Arial" w:cs="Arial" w:eastAsia="Arial" w:hAnsi="Arial"/>
                <w:sz w:val="18"/>
                <w:szCs w:val="18"/>
                <w:color w:val="auto"/>
              </w:rPr>
              <w:t>INDEX</w:t>
            </w: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3"/>
        </w:trPr>
        <w:tc>
          <w:tcPr>
            <w:tcW w:w="640" w:type="dxa"/>
            <w:vAlign w:val="bottom"/>
          </w:tcPr>
          <w:p>
            <w:pPr>
              <w:ind w:left="80"/>
              <w:spacing w:after="0"/>
              <w:rPr>
                <w:sz w:val="20"/>
                <w:szCs w:val="20"/>
                <w:color w:val="auto"/>
              </w:rPr>
            </w:pPr>
            <w:r>
              <w:rPr>
                <w:rFonts w:ascii="Arial" w:cs="Arial" w:eastAsia="Arial" w:hAnsi="Arial"/>
                <w:sz w:val="14"/>
                <w:szCs w:val="14"/>
                <w:color w:val="auto"/>
              </w:rPr>
              <w:t>Item</w:t>
            </w:r>
          </w:p>
        </w:tc>
        <w:tc>
          <w:tcPr>
            <w:tcW w:w="10080" w:type="dxa"/>
            <w:vAlign w:val="bottom"/>
            <w:gridSpan w:val="24"/>
            <w:vMerge w:val="restart"/>
          </w:tcPr>
          <w:p>
            <w:pPr>
              <w:spacing w:after="0"/>
              <w:rPr>
                <w:sz w:val="20"/>
                <w:szCs w:val="20"/>
                <w:color w:val="auto"/>
              </w:rPr>
            </w:pPr>
            <w:r>
              <w:rPr>
                <w:rFonts w:ascii="Arial" w:cs="Arial" w:eastAsia="Arial" w:hAnsi="Arial"/>
                <w:sz w:val="18"/>
                <w:szCs w:val="18"/>
                <w:b w:val="1"/>
                <w:bCs w:val="1"/>
                <w:color w:val="auto"/>
              </w:rPr>
              <w:t>PART I</w:t>
            </w:r>
          </w:p>
        </w:tc>
        <w:tc>
          <w:tcPr>
            <w:tcW w:w="4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Page</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10080" w:type="dxa"/>
            <w:vAlign w:val="bottom"/>
            <w:gridSpan w:val="24"/>
            <w:vMerge w:val="continue"/>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640" w:type="dxa"/>
            <w:vAlign w:val="bottom"/>
          </w:tcPr>
          <w:p>
            <w:pPr>
              <w:ind w:left="80"/>
              <w:spacing w:after="0" w:line="202" w:lineRule="exact"/>
              <w:rPr>
                <w:sz w:val="20"/>
                <w:szCs w:val="20"/>
                <w:color w:val="auto"/>
              </w:rPr>
            </w:pPr>
            <w:r>
              <w:rPr>
                <w:rFonts w:ascii="Arial" w:cs="Arial" w:eastAsia="Arial" w:hAnsi="Arial"/>
                <w:sz w:val="18"/>
                <w:szCs w:val="18"/>
                <w:color w:val="auto"/>
              </w:rPr>
              <w:t>1</w:t>
            </w:r>
          </w:p>
        </w:tc>
        <w:tc>
          <w:tcPr>
            <w:tcW w:w="10080" w:type="dxa"/>
            <w:vAlign w:val="bottom"/>
            <w:gridSpan w:val="24"/>
          </w:tcPr>
          <w:p>
            <w:pPr>
              <w:spacing w:after="0" w:line="202" w:lineRule="exact"/>
              <w:rPr>
                <w:sz w:val="20"/>
                <w:szCs w:val="20"/>
                <w:color w:val="auto"/>
              </w:rPr>
            </w:pPr>
            <w:r>
              <w:rPr>
                <w:rFonts w:ascii="Arial" w:cs="Arial" w:eastAsia="Arial" w:hAnsi="Arial"/>
                <w:sz w:val="18"/>
                <w:szCs w:val="18"/>
                <w:color w:val="0563C1"/>
              </w:rPr>
              <w:t>Business</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640" w:type="dxa"/>
            <w:vAlign w:val="bottom"/>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0" w:type="dxa"/>
            <w:vAlign w:val="bottom"/>
          </w:tcPr>
          <w:p>
            <w:pPr>
              <w:ind w:left="80"/>
              <w:spacing w:after="0"/>
              <w:rPr>
                <w:sz w:val="20"/>
                <w:szCs w:val="20"/>
                <w:color w:val="auto"/>
              </w:rPr>
            </w:pPr>
            <w:r>
              <w:rPr>
                <w:rFonts w:ascii="Arial" w:cs="Arial" w:eastAsia="Arial" w:hAnsi="Arial"/>
                <w:sz w:val="18"/>
                <w:szCs w:val="18"/>
                <w:color w:val="auto"/>
              </w:rPr>
              <w:t>1A</w:t>
            </w:r>
          </w:p>
        </w:tc>
        <w:tc>
          <w:tcPr>
            <w:tcW w:w="920" w:type="dxa"/>
            <w:vAlign w:val="bottom"/>
            <w:tcBorders>
              <w:bottom w:val="single" w:sz="8" w:color="0563C1"/>
            </w:tcBorders>
            <w:gridSpan w:val="4"/>
          </w:tcPr>
          <w:p>
            <w:pPr>
              <w:spacing w:after="0"/>
              <w:rPr>
                <w:sz w:val="20"/>
                <w:szCs w:val="20"/>
                <w:color w:val="auto"/>
              </w:rPr>
            </w:pPr>
            <w:r>
              <w:rPr>
                <w:rFonts w:ascii="Arial" w:cs="Arial" w:eastAsia="Arial" w:hAnsi="Arial"/>
                <w:sz w:val="18"/>
                <w:szCs w:val="18"/>
                <w:color w:val="0563C1"/>
                <w:w w:val="89"/>
              </w:rPr>
              <w:t>Risk Factors</w:t>
            </w:r>
          </w:p>
        </w:tc>
        <w:tc>
          <w:tcPr>
            <w:tcW w:w="9160" w:type="dxa"/>
            <w:vAlign w:val="bottom"/>
            <w:gridSpan w:val="20"/>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tcPr>
          <w:p>
            <w:pPr>
              <w:ind w:left="80"/>
              <w:spacing w:after="0"/>
              <w:rPr>
                <w:sz w:val="20"/>
                <w:szCs w:val="20"/>
                <w:color w:val="auto"/>
              </w:rPr>
            </w:pPr>
            <w:r>
              <w:rPr>
                <w:rFonts w:ascii="Arial" w:cs="Arial" w:eastAsia="Arial" w:hAnsi="Arial"/>
                <w:sz w:val="18"/>
                <w:szCs w:val="18"/>
                <w:color w:val="auto"/>
              </w:rPr>
              <w:t>1B</w:t>
            </w:r>
          </w:p>
        </w:tc>
        <w:tc>
          <w:tcPr>
            <w:tcW w:w="2060" w:type="dxa"/>
            <w:vAlign w:val="bottom"/>
            <w:tcBorders>
              <w:bottom w:val="single" w:sz="8" w:color="0563C1"/>
            </w:tcBorders>
            <w:gridSpan w:val="11"/>
          </w:tcPr>
          <w:p>
            <w:pPr>
              <w:spacing w:after="0"/>
              <w:rPr>
                <w:sz w:val="20"/>
                <w:szCs w:val="20"/>
                <w:color w:val="auto"/>
              </w:rPr>
            </w:pPr>
            <w:r>
              <w:rPr>
                <w:rFonts w:ascii="Arial" w:cs="Arial" w:eastAsia="Arial" w:hAnsi="Arial"/>
                <w:sz w:val="18"/>
                <w:szCs w:val="18"/>
                <w:color w:val="0563C1"/>
                <w:w w:val="90"/>
              </w:rPr>
              <w:t>Unresolved Staff Comments</w:t>
            </w:r>
          </w:p>
        </w:tc>
        <w:tc>
          <w:tcPr>
            <w:tcW w:w="8020" w:type="dxa"/>
            <w:vAlign w:val="bottom"/>
            <w:gridSpan w:val="13"/>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tcPr>
          <w:p>
            <w:pPr>
              <w:ind w:left="80"/>
              <w:spacing w:after="0"/>
              <w:rPr>
                <w:sz w:val="20"/>
                <w:szCs w:val="20"/>
                <w:color w:val="auto"/>
              </w:rPr>
            </w:pPr>
            <w:r>
              <w:rPr>
                <w:rFonts w:ascii="Arial" w:cs="Arial" w:eastAsia="Arial" w:hAnsi="Arial"/>
                <w:sz w:val="18"/>
                <w:szCs w:val="18"/>
                <w:color w:val="auto"/>
              </w:rPr>
              <w:t>2</w:t>
            </w:r>
          </w:p>
        </w:tc>
        <w:tc>
          <w:tcPr>
            <w:tcW w:w="740" w:type="dxa"/>
            <w:vAlign w:val="bottom"/>
            <w:tcBorders>
              <w:bottom w:val="single" w:sz="8" w:color="0563C1"/>
            </w:tcBorders>
            <w:gridSpan w:val="2"/>
          </w:tcPr>
          <w:p>
            <w:pPr>
              <w:spacing w:after="0"/>
              <w:rPr>
                <w:sz w:val="20"/>
                <w:szCs w:val="20"/>
                <w:color w:val="auto"/>
              </w:rPr>
            </w:pPr>
            <w:r>
              <w:rPr>
                <w:rFonts w:ascii="Arial" w:cs="Arial" w:eastAsia="Arial" w:hAnsi="Arial"/>
                <w:sz w:val="18"/>
                <w:szCs w:val="18"/>
                <w:color w:val="0563C1"/>
                <w:w w:val="87"/>
              </w:rPr>
              <w:t>Properties</w:t>
            </w:r>
          </w:p>
        </w:tc>
        <w:tc>
          <w:tcPr>
            <w:tcW w:w="9340" w:type="dxa"/>
            <w:vAlign w:val="bottom"/>
            <w:gridSpan w:val="22"/>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tcPr>
          <w:p>
            <w:pPr>
              <w:ind w:left="80"/>
              <w:spacing w:after="0"/>
              <w:rPr>
                <w:sz w:val="20"/>
                <w:szCs w:val="20"/>
                <w:color w:val="auto"/>
              </w:rPr>
            </w:pPr>
            <w:r>
              <w:rPr>
                <w:rFonts w:ascii="Arial" w:cs="Arial" w:eastAsia="Arial" w:hAnsi="Arial"/>
                <w:sz w:val="18"/>
                <w:szCs w:val="18"/>
                <w:color w:val="auto"/>
              </w:rPr>
              <w:t>3</w:t>
            </w:r>
          </w:p>
        </w:tc>
        <w:tc>
          <w:tcPr>
            <w:tcW w:w="10080" w:type="dxa"/>
            <w:vAlign w:val="bottom"/>
            <w:gridSpan w:val="24"/>
          </w:tcPr>
          <w:p>
            <w:pPr>
              <w:spacing w:after="0"/>
              <w:rPr>
                <w:sz w:val="20"/>
                <w:szCs w:val="20"/>
                <w:color w:val="auto"/>
              </w:rPr>
            </w:pPr>
            <w:r>
              <w:rPr>
                <w:rFonts w:ascii="Arial" w:cs="Arial" w:eastAsia="Arial" w:hAnsi="Arial"/>
                <w:sz w:val="18"/>
                <w:szCs w:val="18"/>
                <w:color w:val="0563C1"/>
              </w:rPr>
              <w:t>Legal Proceedings</w:t>
            </w:r>
          </w:p>
        </w:tc>
        <w:tc>
          <w:tcPr>
            <w:tcW w:w="460" w:type="dxa"/>
            <w:vAlign w:val="bottom"/>
          </w:tcPr>
          <w:p>
            <w:pPr>
              <w:jc w:val="right"/>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760" w:type="dxa"/>
            <w:vAlign w:val="bottom"/>
            <w:gridSpan w:val="3"/>
            <w:shd w:val="clear" w:color="auto" w:fill="0563C1"/>
          </w:tcPr>
          <w:p>
            <w:pPr>
              <w:spacing w:after="0" w:line="20" w:lineRule="exact"/>
              <w:rPr>
                <w:sz w:val="1"/>
                <w:szCs w:val="1"/>
                <w:color w:val="auto"/>
              </w:rPr>
            </w:pPr>
          </w:p>
        </w:tc>
        <w:tc>
          <w:tcPr>
            <w:tcW w:w="300" w:type="dxa"/>
            <w:vAlign w:val="bottom"/>
            <w:gridSpan w:val="2"/>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0" w:type="dxa"/>
            <w:vAlign w:val="bottom"/>
          </w:tcPr>
          <w:p>
            <w:pPr>
              <w:ind w:left="80"/>
              <w:spacing w:after="0"/>
              <w:rPr>
                <w:sz w:val="20"/>
                <w:szCs w:val="20"/>
                <w:color w:val="auto"/>
              </w:rPr>
            </w:pPr>
            <w:r>
              <w:rPr>
                <w:rFonts w:ascii="Arial" w:cs="Arial" w:eastAsia="Arial" w:hAnsi="Arial"/>
                <w:sz w:val="18"/>
                <w:szCs w:val="18"/>
                <w:color w:val="auto"/>
              </w:rPr>
              <w:t>4</w:t>
            </w:r>
          </w:p>
        </w:tc>
        <w:tc>
          <w:tcPr>
            <w:tcW w:w="1780" w:type="dxa"/>
            <w:vAlign w:val="bottom"/>
            <w:tcBorders>
              <w:bottom w:val="single" w:sz="8" w:color="0563C1"/>
            </w:tcBorders>
            <w:gridSpan w:val="9"/>
          </w:tcPr>
          <w:p>
            <w:pPr>
              <w:spacing w:after="0"/>
              <w:rPr>
                <w:sz w:val="20"/>
                <w:szCs w:val="20"/>
                <w:color w:val="auto"/>
              </w:rPr>
            </w:pPr>
            <w:r>
              <w:rPr>
                <w:rFonts w:ascii="Arial" w:cs="Arial" w:eastAsia="Arial" w:hAnsi="Arial"/>
                <w:sz w:val="18"/>
                <w:szCs w:val="18"/>
                <w:color w:val="0563C1"/>
                <w:w w:val="91"/>
              </w:rPr>
              <w:t>Mine Safety Disclosures</w:t>
            </w:r>
          </w:p>
        </w:tc>
        <w:tc>
          <w:tcPr>
            <w:tcW w:w="8300" w:type="dxa"/>
            <w:vAlign w:val="bottom"/>
            <w:gridSpan w:val="15"/>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10080" w:type="dxa"/>
            <w:vAlign w:val="bottom"/>
            <w:gridSpan w:val="24"/>
          </w:tcPr>
          <w:p>
            <w:pPr>
              <w:spacing w:after="0"/>
              <w:rPr>
                <w:sz w:val="20"/>
                <w:szCs w:val="20"/>
                <w:color w:val="auto"/>
              </w:rPr>
            </w:pPr>
            <w:r>
              <w:rPr>
                <w:rFonts w:ascii="Arial" w:cs="Arial" w:eastAsia="Arial" w:hAnsi="Arial"/>
                <w:sz w:val="18"/>
                <w:szCs w:val="18"/>
                <w:color w:val="0563C1"/>
              </w:rPr>
              <w:t>Information about our Executive Officers</w:t>
            </w:r>
          </w:p>
        </w:tc>
        <w:tc>
          <w:tcPr>
            <w:tcW w:w="460" w:type="dxa"/>
            <w:vAlign w:val="bottom"/>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6"/>
        </w:trPr>
        <w:tc>
          <w:tcPr>
            <w:tcW w:w="640" w:type="dxa"/>
            <w:vAlign w:val="bottom"/>
          </w:tcPr>
          <w:p>
            <w:pPr>
              <w:spacing w:after="0"/>
              <w:rPr>
                <w:sz w:val="24"/>
                <w:szCs w:val="24"/>
                <w:color w:val="auto"/>
              </w:rPr>
            </w:pPr>
          </w:p>
        </w:tc>
        <w:tc>
          <w:tcPr>
            <w:tcW w:w="2980" w:type="dxa"/>
            <w:vAlign w:val="bottom"/>
            <w:tcBorders>
              <w:top w:val="single" w:sz="8" w:color="0563C1"/>
            </w:tcBorders>
            <w:gridSpan w:val="13"/>
          </w:tcPr>
          <w:p>
            <w:pPr>
              <w:spacing w:after="0"/>
              <w:rPr>
                <w:sz w:val="20"/>
                <w:szCs w:val="20"/>
                <w:color w:val="auto"/>
              </w:rPr>
            </w:pPr>
            <w:r>
              <w:rPr>
                <w:rFonts w:ascii="Arial" w:cs="Arial" w:eastAsia="Arial" w:hAnsi="Arial"/>
                <w:sz w:val="18"/>
                <w:szCs w:val="18"/>
                <w:b w:val="1"/>
                <w:bCs w:val="1"/>
                <w:color w:val="auto"/>
              </w:rPr>
              <w:t>PART II</w:t>
            </w:r>
          </w:p>
        </w:tc>
        <w:tc>
          <w:tcPr>
            <w:tcW w:w="7100" w:type="dxa"/>
            <w:vAlign w:val="bottom"/>
            <w:gridSpan w:val="11"/>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640" w:type="dxa"/>
            <w:vAlign w:val="bottom"/>
          </w:tcPr>
          <w:p>
            <w:pPr>
              <w:ind w:left="80"/>
              <w:spacing w:after="0" w:line="202" w:lineRule="exact"/>
              <w:rPr>
                <w:sz w:val="20"/>
                <w:szCs w:val="20"/>
                <w:color w:val="auto"/>
              </w:rPr>
            </w:pPr>
            <w:r>
              <w:rPr>
                <w:rFonts w:ascii="Arial" w:cs="Arial" w:eastAsia="Arial" w:hAnsi="Arial"/>
                <w:sz w:val="18"/>
                <w:szCs w:val="18"/>
                <w:color w:val="auto"/>
              </w:rPr>
              <w:t>5</w:t>
            </w:r>
          </w:p>
        </w:tc>
        <w:tc>
          <w:tcPr>
            <w:tcW w:w="8060" w:type="dxa"/>
            <w:vAlign w:val="bottom"/>
            <w:tcBorders>
              <w:bottom w:val="single" w:sz="8" w:color="0563C1"/>
            </w:tcBorders>
            <w:gridSpan w:val="23"/>
          </w:tcPr>
          <w:p>
            <w:pPr>
              <w:spacing w:after="0" w:line="202" w:lineRule="exact"/>
              <w:rPr>
                <w:sz w:val="20"/>
                <w:szCs w:val="20"/>
                <w:color w:val="auto"/>
              </w:rPr>
            </w:pPr>
            <w:r>
              <w:rPr>
                <w:rFonts w:ascii="Arial" w:cs="Arial" w:eastAsia="Arial" w:hAnsi="Arial"/>
                <w:sz w:val="18"/>
                <w:szCs w:val="18"/>
                <w:color w:val="0563C1"/>
                <w:w w:val="90"/>
              </w:rPr>
              <w:t>Market for Registrant's Common Equity, Related Stockholder Matters and Issuer Purchases of Equity Securities</w:t>
            </w:r>
          </w:p>
        </w:tc>
        <w:tc>
          <w:tcPr>
            <w:tcW w:w="202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20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40" w:type="dxa"/>
            <w:vAlign w:val="bottom"/>
          </w:tcPr>
          <w:p>
            <w:pPr>
              <w:ind w:left="80"/>
              <w:spacing w:after="0"/>
              <w:rPr>
                <w:sz w:val="20"/>
                <w:szCs w:val="20"/>
                <w:color w:val="auto"/>
              </w:rPr>
            </w:pPr>
            <w:r>
              <w:rPr>
                <w:rFonts w:ascii="Arial" w:cs="Arial" w:eastAsia="Arial" w:hAnsi="Arial"/>
                <w:sz w:val="18"/>
                <w:szCs w:val="18"/>
                <w:color w:val="auto"/>
              </w:rPr>
              <w:t>6</w:t>
            </w:r>
          </w:p>
        </w:tc>
        <w:tc>
          <w:tcPr>
            <w:tcW w:w="1720" w:type="dxa"/>
            <w:vAlign w:val="bottom"/>
            <w:tcBorders>
              <w:bottom w:val="single" w:sz="8" w:color="0563C1"/>
            </w:tcBorders>
            <w:gridSpan w:val="8"/>
          </w:tcPr>
          <w:p>
            <w:pPr>
              <w:spacing w:after="0"/>
              <w:rPr>
                <w:sz w:val="20"/>
                <w:szCs w:val="20"/>
                <w:color w:val="auto"/>
              </w:rPr>
            </w:pPr>
            <w:r>
              <w:rPr>
                <w:rFonts w:ascii="Arial" w:cs="Arial" w:eastAsia="Arial" w:hAnsi="Arial"/>
                <w:sz w:val="18"/>
                <w:szCs w:val="18"/>
                <w:color w:val="0563C1"/>
                <w:w w:val="89"/>
              </w:rPr>
              <w:t>Selected Financial Data</w:t>
            </w:r>
          </w:p>
        </w:tc>
        <w:tc>
          <w:tcPr>
            <w:tcW w:w="8360" w:type="dxa"/>
            <w:vAlign w:val="bottom"/>
            <w:gridSpan w:val="16"/>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tcPr>
          <w:p>
            <w:pPr>
              <w:ind w:left="80"/>
              <w:spacing w:after="0"/>
              <w:rPr>
                <w:sz w:val="20"/>
                <w:szCs w:val="20"/>
                <w:color w:val="auto"/>
              </w:rPr>
            </w:pPr>
            <w:r>
              <w:rPr>
                <w:rFonts w:ascii="Arial" w:cs="Arial" w:eastAsia="Arial" w:hAnsi="Arial"/>
                <w:sz w:val="18"/>
                <w:szCs w:val="18"/>
                <w:color w:val="auto"/>
              </w:rPr>
              <w:t>7</w:t>
            </w:r>
          </w:p>
        </w:tc>
        <w:tc>
          <w:tcPr>
            <w:tcW w:w="6460" w:type="dxa"/>
            <w:vAlign w:val="bottom"/>
            <w:tcBorders>
              <w:bottom w:val="single" w:sz="8" w:color="0563C1"/>
            </w:tcBorders>
            <w:gridSpan w:val="20"/>
          </w:tcPr>
          <w:p>
            <w:pPr>
              <w:spacing w:after="0"/>
              <w:rPr>
                <w:sz w:val="20"/>
                <w:szCs w:val="20"/>
                <w:color w:val="auto"/>
              </w:rPr>
            </w:pPr>
            <w:r>
              <w:rPr>
                <w:rFonts w:ascii="Arial" w:cs="Arial" w:eastAsia="Arial" w:hAnsi="Arial"/>
                <w:sz w:val="18"/>
                <w:szCs w:val="18"/>
                <w:color w:val="0563C1"/>
                <w:w w:val="90"/>
              </w:rPr>
              <w:t>Management’s Discussion and Analysis of Financial Condition and Results of Operations</w:t>
            </w:r>
          </w:p>
        </w:tc>
        <w:tc>
          <w:tcPr>
            <w:tcW w:w="3620" w:type="dxa"/>
            <w:vAlign w:val="bottom"/>
            <w:gridSpan w:val="4"/>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tcPr>
          <w:p>
            <w:pPr>
              <w:ind w:left="80"/>
              <w:spacing w:after="0"/>
              <w:rPr>
                <w:sz w:val="20"/>
                <w:szCs w:val="20"/>
                <w:color w:val="auto"/>
              </w:rPr>
            </w:pPr>
            <w:r>
              <w:rPr>
                <w:rFonts w:ascii="Arial" w:cs="Arial" w:eastAsia="Arial" w:hAnsi="Arial"/>
                <w:sz w:val="18"/>
                <w:szCs w:val="18"/>
                <w:color w:val="auto"/>
              </w:rPr>
              <w:t>7A</w:t>
            </w:r>
          </w:p>
        </w:tc>
        <w:tc>
          <w:tcPr>
            <w:tcW w:w="10080" w:type="dxa"/>
            <w:vAlign w:val="bottom"/>
            <w:gridSpan w:val="24"/>
          </w:tcPr>
          <w:p>
            <w:pPr>
              <w:spacing w:after="0"/>
              <w:rPr>
                <w:sz w:val="20"/>
                <w:szCs w:val="20"/>
                <w:color w:val="auto"/>
              </w:rPr>
            </w:pPr>
            <w:r>
              <w:rPr>
                <w:rFonts w:ascii="Arial" w:cs="Arial" w:eastAsia="Arial" w:hAnsi="Arial"/>
                <w:sz w:val="18"/>
                <w:szCs w:val="18"/>
                <w:color w:val="0563C1"/>
              </w:rPr>
              <w:t>Quantitative and Qualitative Disclosures About Market Risk</w:t>
            </w:r>
          </w:p>
        </w:tc>
        <w:tc>
          <w:tcPr>
            <w:tcW w:w="460" w:type="dxa"/>
            <w:vAlign w:val="bottom"/>
          </w:tcPr>
          <w:p>
            <w:pPr>
              <w:jc w:val="right"/>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tcPr>
          <w:p>
            <w:pPr>
              <w:ind w:left="80"/>
              <w:spacing w:after="0"/>
              <w:rPr>
                <w:sz w:val="20"/>
                <w:szCs w:val="20"/>
                <w:color w:val="auto"/>
              </w:rPr>
            </w:pPr>
            <w:r>
              <w:rPr>
                <w:rFonts w:ascii="Arial" w:cs="Arial" w:eastAsia="Arial" w:hAnsi="Arial"/>
                <w:sz w:val="18"/>
                <w:szCs w:val="18"/>
                <w:color w:val="auto"/>
              </w:rPr>
              <w:t>8</w:t>
            </w:r>
          </w:p>
        </w:tc>
        <w:tc>
          <w:tcPr>
            <w:tcW w:w="3340" w:type="dxa"/>
            <w:vAlign w:val="bottom"/>
            <w:tcBorders>
              <w:top w:val="single" w:sz="8" w:color="0563C1"/>
              <w:bottom w:val="single" w:sz="8" w:color="0563C1"/>
            </w:tcBorders>
            <w:gridSpan w:val="15"/>
          </w:tcPr>
          <w:p>
            <w:pPr>
              <w:spacing w:after="0"/>
              <w:rPr>
                <w:sz w:val="20"/>
                <w:szCs w:val="20"/>
                <w:color w:val="auto"/>
              </w:rPr>
            </w:pPr>
            <w:r>
              <w:rPr>
                <w:rFonts w:ascii="Arial" w:cs="Arial" w:eastAsia="Arial" w:hAnsi="Arial"/>
                <w:sz w:val="18"/>
                <w:szCs w:val="18"/>
                <w:color w:val="0563C1"/>
                <w:w w:val="89"/>
              </w:rPr>
              <w:t>Financial Statements and Supplementary Data</w:t>
            </w:r>
          </w:p>
        </w:tc>
        <w:tc>
          <w:tcPr>
            <w:tcW w:w="1020" w:type="dxa"/>
            <w:vAlign w:val="bottom"/>
            <w:tcBorders>
              <w:top w:val="single" w:sz="8" w:color="0563C1"/>
            </w:tcBorders>
            <w:gridSpan w:val="2"/>
          </w:tcPr>
          <w:p>
            <w:pPr>
              <w:spacing w:after="0"/>
              <w:rPr>
                <w:sz w:val="19"/>
                <w:szCs w:val="19"/>
                <w:color w:val="auto"/>
              </w:rPr>
            </w:pPr>
          </w:p>
        </w:tc>
        <w:tc>
          <w:tcPr>
            <w:tcW w:w="5720" w:type="dxa"/>
            <w:vAlign w:val="bottom"/>
            <w:gridSpan w:val="7"/>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tcPr>
          <w:p>
            <w:pPr>
              <w:ind w:left="80"/>
              <w:spacing w:after="0"/>
              <w:rPr>
                <w:sz w:val="20"/>
                <w:szCs w:val="20"/>
                <w:color w:val="auto"/>
              </w:rPr>
            </w:pPr>
            <w:r>
              <w:rPr>
                <w:rFonts w:ascii="Arial" w:cs="Arial" w:eastAsia="Arial" w:hAnsi="Arial"/>
                <w:sz w:val="18"/>
                <w:szCs w:val="18"/>
                <w:color w:val="auto"/>
              </w:rPr>
              <w:t>9</w:t>
            </w:r>
          </w:p>
        </w:tc>
        <w:tc>
          <w:tcPr>
            <w:tcW w:w="10080" w:type="dxa"/>
            <w:vAlign w:val="bottom"/>
            <w:gridSpan w:val="24"/>
          </w:tcPr>
          <w:p>
            <w:pPr>
              <w:spacing w:after="0"/>
              <w:rPr>
                <w:sz w:val="20"/>
                <w:szCs w:val="20"/>
                <w:color w:val="auto"/>
              </w:rPr>
            </w:pPr>
            <w:r>
              <w:rPr>
                <w:rFonts w:ascii="Arial" w:cs="Arial" w:eastAsia="Arial" w:hAnsi="Arial"/>
                <w:sz w:val="18"/>
                <w:szCs w:val="18"/>
                <w:color w:val="0563C1"/>
              </w:rPr>
              <w:t>Changes in and Disagreements With Accountants on Accounting and Financial Disclosure</w:t>
            </w:r>
          </w:p>
        </w:tc>
        <w:tc>
          <w:tcPr>
            <w:tcW w:w="460" w:type="dxa"/>
            <w:vAlign w:val="bottom"/>
          </w:tcPr>
          <w:p>
            <w:pPr>
              <w:jc w:val="right"/>
              <w:spacing w:after="0"/>
              <w:rPr>
                <w:sz w:val="20"/>
                <w:szCs w:val="20"/>
                <w:color w:val="auto"/>
              </w:rPr>
            </w:pPr>
            <w:r>
              <w:rPr>
                <w:rFonts w:ascii="Arial" w:cs="Arial" w:eastAsia="Arial" w:hAnsi="Arial"/>
                <w:sz w:val="18"/>
                <w:szCs w:val="18"/>
                <w:color w:val="auto"/>
              </w:rPr>
              <w:t>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tcPr>
          <w:p>
            <w:pPr>
              <w:ind w:left="80"/>
              <w:spacing w:after="0"/>
              <w:rPr>
                <w:sz w:val="20"/>
                <w:szCs w:val="20"/>
                <w:color w:val="auto"/>
              </w:rPr>
            </w:pPr>
            <w:r>
              <w:rPr>
                <w:rFonts w:ascii="Arial" w:cs="Arial" w:eastAsia="Arial" w:hAnsi="Arial"/>
                <w:sz w:val="18"/>
                <w:szCs w:val="18"/>
                <w:color w:val="auto"/>
              </w:rPr>
              <w:t>9A</w:t>
            </w:r>
          </w:p>
        </w:tc>
        <w:tc>
          <w:tcPr>
            <w:tcW w:w="1780" w:type="dxa"/>
            <w:vAlign w:val="bottom"/>
            <w:tcBorders>
              <w:top w:val="single" w:sz="8" w:color="0563C1"/>
              <w:bottom w:val="single" w:sz="8" w:color="0563C1"/>
            </w:tcBorders>
            <w:gridSpan w:val="9"/>
          </w:tcPr>
          <w:p>
            <w:pPr>
              <w:spacing w:after="0"/>
              <w:rPr>
                <w:sz w:val="20"/>
                <w:szCs w:val="20"/>
                <w:color w:val="auto"/>
              </w:rPr>
            </w:pPr>
            <w:r>
              <w:rPr>
                <w:rFonts w:ascii="Arial" w:cs="Arial" w:eastAsia="Arial" w:hAnsi="Arial"/>
                <w:sz w:val="18"/>
                <w:szCs w:val="18"/>
                <w:color w:val="0563C1"/>
                <w:w w:val="88"/>
              </w:rPr>
              <w:t>Controls and Procedures</w:t>
            </w:r>
          </w:p>
        </w:tc>
        <w:tc>
          <w:tcPr>
            <w:tcW w:w="4720" w:type="dxa"/>
            <w:vAlign w:val="bottom"/>
            <w:tcBorders>
              <w:top w:val="single" w:sz="8" w:color="0563C1"/>
            </w:tcBorders>
            <w:gridSpan w:val="12"/>
          </w:tcPr>
          <w:p>
            <w:pPr>
              <w:spacing w:after="0"/>
              <w:rPr>
                <w:sz w:val="19"/>
                <w:szCs w:val="19"/>
                <w:color w:val="auto"/>
              </w:rPr>
            </w:pPr>
          </w:p>
        </w:tc>
        <w:tc>
          <w:tcPr>
            <w:tcW w:w="3580" w:type="dxa"/>
            <w:vAlign w:val="bottom"/>
            <w:gridSpan w:val="3"/>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tcPr>
          <w:p>
            <w:pPr>
              <w:ind w:left="80"/>
              <w:spacing w:after="0"/>
              <w:rPr>
                <w:sz w:val="20"/>
                <w:szCs w:val="20"/>
                <w:color w:val="auto"/>
              </w:rPr>
            </w:pPr>
            <w:r>
              <w:rPr>
                <w:rFonts w:ascii="Arial" w:cs="Arial" w:eastAsia="Arial" w:hAnsi="Arial"/>
                <w:sz w:val="18"/>
                <w:szCs w:val="18"/>
                <w:color w:val="auto"/>
              </w:rPr>
              <w:t>9B</w:t>
            </w:r>
          </w:p>
        </w:tc>
        <w:tc>
          <w:tcPr>
            <w:tcW w:w="10080" w:type="dxa"/>
            <w:vAlign w:val="bottom"/>
            <w:gridSpan w:val="24"/>
          </w:tcPr>
          <w:p>
            <w:pPr>
              <w:spacing w:after="0"/>
              <w:rPr>
                <w:sz w:val="20"/>
                <w:szCs w:val="20"/>
                <w:color w:val="auto"/>
              </w:rPr>
            </w:pPr>
            <w:r>
              <w:rPr>
                <w:rFonts w:ascii="Arial" w:cs="Arial" w:eastAsia="Arial" w:hAnsi="Arial"/>
                <w:sz w:val="18"/>
                <w:szCs w:val="18"/>
                <w:color w:val="0563C1"/>
              </w:rPr>
              <w:t>Other Information</w:t>
            </w:r>
          </w:p>
        </w:tc>
        <w:tc>
          <w:tcPr>
            <w:tcW w:w="460" w:type="dxa"/>
            <w:vAlign w:val="bottom"/>
          </w:tcPr>
          <w:p>
            <w:pPr>
              <w:jc w:val="right"/>
              <w:spacing w:after="0"/>
              <w:rPr>
                <w:sz w:val="20"/>
                <w:szCs w:val="20"/>
                <w:color w:val="auto"/>
              </w:rPr>
            </w:pPr>
            <w:r>
              <w:rPr>
                <w:rFonts w:ascii="Arial" w:cs="Arial" w:eastAsia="Arial" w:hAnsi="Arial"/>
                <w:sz w:val="18"/>
                <w:szCs w:val="18"/>
                <w:color w:val="auto"/>
              </w:rPr>
              <w:t>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760" w:type="dxa"/>
            <w:vAlign w:val="bottom"/>
            <w:gridSpan w:val="3"/>
            <w:shd w:val="clear" w:color="auto" w:fill="0563C1"/>
          </w:tcPr>
          <w:p>
            <w:pPr>
              <w:spacing w:after="0" w:line="20" w:lineRule="exact"/>
              <w:rPr>
                <w:sz w:val="1"/>
                <w:szCs w:val="1"/>
                <w:color w:val="auto"/>
              </w:rPr>
            </w:pPr>
          </w:p>
        </w:tc>
        <w:tc>
          <w:tcPr>
            <w:tcW w:w="300" w:type="dxa"/>
            <w:vAlign w:val="bottom"/>
            <w:gridSpan w:val="2"/>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0" w:type="dxa"/>
            <w:vAlign w:val="bottom"/>
          </w:tcPr>
          <w:p>
            <w:pPr>
              <w:ind w:left="80"/>
              <w:spacing w:after="0"/>
              <w:rPr>
                <w:sz w:val="20"/>
                <w:szCs w:val="20"/>
                <w:color w:val="auto"/>
              </w:rPr>
            </w:pPr>
            <w:r>
              <w:rPr>
                <w:rFonts w:ascii="Arial" w:cs="Arial" w:eastAsia="Arial" w:hAnsi="Arial"/>
                <w:sz w:val="18"/>
                <w:szCs w:val="18"/>
                <w:color w:val="auto"/>
              </w:rPr>
              <w:t>9C</w:t>
            </w:r>
          </w:p>
        </w:tc>
        <w:tc>
          <w:tcPr>
            <w:tcW w:w="4900" w:type="dxa"/>
            <w:vAlign w:val="bottom"/>
            <w:tcBorders>
              <w:bottom w:val="single" w:sz="8" w:color="0563C1"/>
            </w:tcBorders>
            <w:gridSpan w:val="18"/>
          </w:tcPr>
          <w:p>
            <w:pPr>
              <w:spacing w:after="0"/>
              <w:rPr>
                <w:sz w:val="20"/>
                <w:szCs w:val="20"/>
                <w:color w:val="auto"/>
              </w:rPr>
            </w:pPr>
            <w:r>
              <w:rPr>
                <w:rFonts w:ascii="Arial" w:cs="Arial" w:eastAsia="Arial" w:hAnsi="Arial"/>
                <w:sz w:val="18"/>
                <w:szCs w:val="18"/>
                <w:color w:val="0563C1"/>
                <w:w w:val="90"/>
              </w:rPr>
              <w:t>Disclosure Regarding Foreign Jurisdictions that Prevent Inspections</w:t>
            </w:r>
          </w:p>
        </w:tc>
        <w:tc>
          <w:tcPr>
            <w:tcW w:w="5180" w:type="dxa"/>
            <w:vAlign w:val="bottom"/>
            <w:gridSpan w:val="6"/>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6"/>
        </w:trPr>
        <w:tc>
          <w:tcPr>
            <w:tcW w:w="640" w:type="dxa"/>
            <w:vAlign w:val="bottom"/>
          </w:tcPr>
          <w:p>
            <w:pPr>
              <w:spacing w:after="0"/>
              <w:rPr>
                <w:sz w:val="24"/>
                <w:szCs w:val="24"/>
                <w:color w:val="auto"/>
              </w:rPr>
            </w:pPr>
          </w:p>
        </w:tc>
        <w:tc>
          <w:tcPr>
            <w:tcW w:w="10080" w:type="dxa"/>
            <w:vAlign w:val="bottom"/>
            <w:gridSpan w:val="24"/>
          </w:tcPr>
          <w:p>
            <w:pPr>
              <w:spacing w:after="0"/>
              <w:rPr>
                <w:sz w:val="20"/>
                <w:szCs w:val="20"/>
                <w:color w:val="auto"/>
              </w:rPr>
            </w:pPr>
            <w:r>
              <w:rPr>
                <w:rFonts w:ascii="Arial" w:cs="Arial" w:eastAsia="Arial" w:hAnsi="Arial"/>
                <w:sz w:val="18"/>
                <w:szCs w:val="18"/>
                <w:b w:val="1"/>
                <w:bCs w:val="1"/>
                <w:color w:val="auto"/>
              </w:rPr>
              <w:t>PART III</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640" w:type="dxa"/>
            <w:vAlign w:val="bottom"/>
          </w:tcPr>
          <w:p>
            <w:pPr>
              <w:ind w:left="80"/>
              <w:spacing w:after="0" w:line="202" w:lineRule="exact"/>
              <w:rPr>
                <w:sz w:val="20"/>
                <w:szCs w:val="20"/>
                <w:color w:val="auto"/>
              </w:rPr>
            </w:pPr>
            <w:r>
              <w:rPr>
                <w:rFonts w:ascii="Arial" w:cs="Arial" w:eastAsia="Arial" w:hAnsi="Arial"/>
                <w:sz w:val="18"/>
                <w:szCs w:val="18"/>
                <w:color w:val="auto"/>
              </w:rPr>
              <w:t>10</w:t>
            </w:r>
          </w:p>
        </w:tc>
        <w:tc>
          <w:tcPr>
            <w:tcW w:w="4100" w:type="dxa"/>
            <w:vAlign w:val="bottom"/>
            <w:tcBorders>
              <w:bottom w:val="single" w:sz="8" w:color="0563C1"/>
            </w:tcBorders>
            <w:gridSpan w:val="16"/>
          </w:tcPr>
          <w:p>
            <w:pPr>
              <w:spacing w:after="0" w:line="202" w:lineRule="exact"/>
              <w:rPr>
                <w:sz w:val="20"/>
                <w:szCs w:val="20"/>
                <w:color w:val="auto"/>
              </w:rPr>
            </w:pPr>
            <w:r>
              <w:rPr>
                <w:rFonts w:ascii="Arial" w:cs="Arial" w:eastAsia="Arial" w:hAnsi="Arial"/>
                <w:sz w:val="18"/>
                <w:szCs w:val="18"/>
                <w:color w:val="0563C1"/>
                <w:w w:val="90"/>
              </w:rPr>
              <w:t>Directors, Executive Officers and Corporate Governance</w:t>
            </w:r>
          </w:p>
        </w:tc>
        <w:tc>
          <w:tcPr>
            <w:tcW w:w="5980" w:type="dxa"/>
            <w:vAlign w:val="bottom"/>
            <w:gridSpan w:val="8"/>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67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40" w:type="dxa"/>
            <w:vAlign w:val="bottom"/>
          </w:tcPr>
          <w:p>
            <w:pPr>
              <w:ind w:left="80"/>
              <w:spacing w:after="0"/>
              <w:rPr>
                <w:sz w:val="20"/>
                <w:szCs w:val="20"/>
                <w:color w:val="auto"/>
              </w:rPr>
            </w:pPr>
            <w:r>
              <w:rPr>
                <w:rFonts w:ascii="Arial" w:cs="Arial" w:eastAsia="Arial" w:hAnsi="Arial"/>
                <w:sz w:val="18"/>
                <w:szCs w:val="18"/>
                <w:color w:val="auto"/>
              </w:rPr>
              <w:t>11</w:t>
            </w:r>
          </w:p>
        </w:tc>
        <w:tc>
          <w:tcPr>
            <w:tcW w:w="10080" w:type="dxa"/>
            <w:vAlign w:val="bottom"/>
            <w:gridSpan w:val="24"/>
          </w:tcPr>
          <w:p>
            <w:pPr>
              <w:spacing w:after="0"/>
              <w:rPr>
                <w:sz w:val="20"/>
                <w:szCs w:val="20"/>
                <w:color w:val="auto"/>
              </w:rPr>
            </w:pPr>
            <w:r>
              <w:rPr>
                <w:rFonts w:ascii="Arial" w:cs="Arial" w:eastAsia="Arial" w:hAnsi="Arial"/>
                <w:sz w:val="18"/>
                <w:szCs w:val="18"/>
                <w:color w:val="0563C1"/>
              </w:rPr>
              <w:t>Executive Compensation</w:t>
            </w:r>
          </w:p>
        </w:tc>
        <w:tc>
          <w:tcPr>
            <w:tcW w:w="460" w:type="dxa"/>
            <w:vAlign w:val="bottom"/>
          </w:tcPr>
          <w:p>
            <w:pPr>
              <w:jc w:val="right"/>
              <w:spacing w:after="0"/>
              <w:rPr>
                <w:sz w:val="20"/>
                <w:szCs w:val="20"/>
                <w:color w:val="auto"/>
              </w:rPr>
            </w:pPr>
            <w:r>
              <w:rPr>
                <w:rFonts w:ascii="Arial" w:cs="Arial" w:eastAsia="Arial" w:hAnsi="Arial"/>
                <w:sz w:val="18"/>
                <w:szCs w:val="18"/>
                <w:color w:val="auto"/>
              </w:rPr>
              <w:t>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760" w:type="dxa"/>
            <w:vAlign w:val="bottom"/>
            <w:gridSpan w:val="3"/>
            <w:shd w:val="clear" w:color="auto" w:fill="0563C1"/>
          </w:tcPr>
          <w:p>
            <w:pPr>
              <w:spacing w:after="0" w:line="20" w:lineRule="exact"/>
              <w:rPr>
                <w:sz w:val="1"/>
                <w:szCs w:val="1"/>
                <w:color w:val="auto"/>
              </w:rPr>
            </w:pPr>
          </w:p>
        </w:tc>
        <w:tc>
          <w:tcPr>
            <w:tcW w:w="300" w:type="dxa"/>
            <w:vAlign w:val="bottom"/>
            <w:gridSpan w:val="2"/>
            <w:shd w:val="clear" w:color="auto" w:fill="0563C1"/>
          </w:tcPr>
          <w:p>
            <w:pPr>
              <w:spacing w:after="0" w:line="20" w:lineRule="exact"/>
              <w:rPr>
                <w:sz w:val="1"/>
                <w:szCs w:val="1"/>
                <w:color w:val="auto"/>
              </w:rPr>
            </w:pPr>
          </w:p>
        </w:tc>
        <w:tc>
          <w:tcPr>
            <w:tcW w:w="500" w:type="dxa"/>
            <w:vAlign w:val="bottom"/>
            <w:gridSpan w:val="2"/>
            <w:shd w:val="clear" w:color="auto" w:fill="0563C1"/>
          </w:tcPr>
          <w:p>
            <w:pPr>
              <w:spacing w:after="0" w:line="20" w:lineRule="exact"/>
              <w:rPr>
                <w:sz w:val="1"/>
                <w:szCs w:val="1"/>
                <w:color w:val="auto"/>
              </w:rPr>
            </w:pPr>
          </w:p>
        </w:tc>
        <w:tc>
          <w:tcPr>
            <w:tcW w:w="260" w:type="dxa"/>
            <w:vAlign w:val="bottom"/>
            <w:tcBorders>
              <w:right w:val="single" w:sz="8" w:color="0000EE"/>
            </w:tcBorders>
            <w:gridSpan w:val="3"/>
            <w:shd w:val="clear" w:color="auto" w:fill="0563C1"/>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0" w:type="dxa"/>
            <w:vAlign w:val="bottom"/>
          </w:tcPr>
          <w:p>
            <w:pPr>
              <w:ind w:left="80"/>
              <w:spacing w:after="0"/>
              <w:rPr>
                <w:sz w:val="20"/>
                <w:szCs w:val="20"/>
                <w:color w:val="auto"/>
              </w:rPr>
            </w:pPr>
            <w:r>
              <w:rPr>
                <w:rFonts w:ascii="Arial" w:cs="Arial" w:eastAsia="Arial" w:hAnsi="Arial"/>
                <w:sz w:val="18"/>
                <w:szCs w:val="18"/>
                <w:color w:val="auto"/>
              </w:rPr>
              <w:t>12</w:t>
            </w:r>
          </w:p>
        </w:tc>
        <w:tc>
          <w:tcPr>
            <w:tcW w:w="10080" w:type="dxa"/>
            <w:vAlign w:val="bottom"/>
            <w:gridSpan w:val="24"/>
          </w:tcPr>
          <w:p>
            <w:pPr>
              <w:spacing w:after="0"/>
              <w:rPr>
                <w:sz w:val="20"/>
                <w:szCs w:val="20"/>
                <w:color w:val="auto"/>
              </w:rPr>
            </w:pPr>
            <w:r>
              <w:rPr>
                <w:rFonts w:ascii="Arial" w:cs="Arial" w:eastAsia="Arial" w:hAnsi="Arial"/>
                <w:sz w:val="18"/>
                <w:szCs w:val="18"/>
                <w:color w:val="0563C1"/>
              </w:rPr>
              <w:t>Security Ownership of Certain Beneficial Owners and Management and Related Shareholder Matters</w:t>
            </w:r>
          </w:p>
        </w:tc>
        <w:tc>
          <w:tcPr>
            <w:tcW w:w="460" w:type="dxa"/>
            <w:vAlign w:val="bottom"/>
          </w:tcPr>
          <w:p>
            <w:pPr>
              <w:jc w:val="right"/>
              <w:spacing w:after="0"/>
              <w:rPr>
                <w:sz w:val="20"/>
                <w:szCs w:val="20"/>
                <w:color w:val="auto"/>
              </w:rPr>
            </w:pPr>
            <w:r>
              <w:rPr>
                <w:rFonts w:ascii="Arial" w:cs="Arial" w:eastAsia="Arial" w:hAnsi="Arial"/>
                <w:sz w:val="18"/>
                <w:szCs w:val="18"/>
                <w:color w:val="auto"/>
              </w:rPr>
              <w:t>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tcPr>
          <w:p>
            <w:pPr>
              <w:ind w:left="80"/>
              <w:spacing w:after="0"/>
              <w:rPr>
                <w:sz w:val="20"/>
                <w:szCs w:val="20"/>
                <w:color w:val="auto"/>
              </w:rPr>
            </w:pPr>
            <w:r>
              <w:rPr>
                <w:rFonts w:ascii="Arial" w:cs="Arial" w:eastAsia="Arial" w:hAnsi="Arial"/>
                <w:sz w:val="18"/>
                <w:szCs w:val="18"/>
                <w:color w:val="auto"/>
              </w:rPr>
              <w:t>13</w:t>
            </w:r>
          </w:p>
        </w:tc>
        <w:tc>
          <w:tcPr>
            <w:tcW w:w="5460" w:type="dxa"/>
            <w:vAlign w:val="bottom"/>
            <w:tcBorders>
              <w:top w:val="single" w:sz="8" w:color="0563C1"/>
              <w:bottom w:val="single" w:sz="8" w:color="0563C1"/>
            </w:tcBorders>
            <w:gridSpan w:val="19"/>
          </w:tcPr>
          <w:p>
            <w:pPr>
              <w:spacing w:after="0"/>
              <w:rPr>
                <w:sz w:val="20"/>
                <w:szCs w:val="20"/>
                <w:color w:val="auto"/>
              </w:rPr>
            </w:pPr>
            <w:r>
              <w:rPr>
                <w:rFonts w:ascii="Arial" w:cs="Arial" w:eastAsia="Arial" w:hAnsi="Arial"/>
                <w:sz w:val="18"/>
                <w:szCs w:val="18"/>
                <w:color w:val="0563C1"/>
                <w:w w:val="89"/>
              </w:rPr>
              <w:t>Certain Relationships and Related Transactions, and Director Independence</w:t>
            </w:r>
          </w:p>
        </w:tc>
        <w:tc>
          <w:tcPr>
            <w:tcW w:w="1820" w:type="dxa"/>
            <w:vAlign w:val="bottom"/>
            <w:tcBorders>
              <w:top w:val="single" w:sz="8" w:color="0563C1"/>
            </w:tcBorders>
            <w:gridSpan w:val="3"/>
          </w:tcPr>
          <w:p>
            <w:pPr>
              <w:spacing w:after="0"/>
              <w:rPr>
                <w:sz w:val="19"/>
                <w:szCs w:val="19"/>
                <w:color w:val="auto"/>
              </w:rPr>
            </w:pPr>
          </w:p>
        </w:tc>
        <w:tc>
          <w:tcPr>
            <w:tcW w:w="2800" w:type="dxa"/>
            <w:vAlign w:val="bottom"/>
            <w:gridSpan w:val="2"/>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tcPr>
          <w:p>
            <w:pPr>
              <w:ind w:left="80"/>
              <w:spacing w:after="0"/>
              <w:rPr>
                <w:sz w:val="20"/>
                <w:szCs w:val="20"/>
                <w:color w:val="auto"/>
              </w:rPr>
            </w:pPr>
            <w:r>
              <w:rPr>
                <w:rFonts w:ascii="Arial" w:cs="Arial" w:eastAsia="Arial" w:hAnsi="Arial"/>
                <w:sz w:val="18"/>
                <w:szCs w:val="18"/>
                <w:color w:val="auto"/>
              </w:rPr>
              <w:t>14</w:t>
            </w:r>
          </w:p>
        </w:tc>
        <w:tc>
          <w:tcPr>
            <w:tcW w:w="10080" w:type="dxa"/>
            <w:vAlign w:val="bottom"/>
            <w:gridSpan w:val="24"/>
          </w:tcPr>
          <w:p>
            <w:pPr>
              <w:spacing w:after="0"/>
              <w:rPr>
                <w:sz w:val="20"/>
                <w:szCs w:val="20"/>
                <w:color w:val="auto"/>
              </w:rPr>
            </w:pPr>
            <w:r>
              <w:rPr>
                <w:rFonts w:ascii="Arial" w:cs="Arial" w:eastAsia="Arial" w:hAnsi="Arial"/>
                <w:sz w:val="18"/>
                <w:szCs w:val="18"/>
                <w:color w:val="0563C1"/>
              </w:rPr>
              <w:t>Principal Accountant Fees and Services</w:t>
            </w:r>
          </w:p>
        </w:tc>
        <w:tc>
          <w:tcPr>
            <w:tcW w:w="460" w:type="dxa"/>
            <w:vAlign w:val="bottom"/>
          </w:tcPr>
          <w:p>
            <w:pPr>
              <w:jc w:val="right"/>
              <w:spacing w:after="0"/>
              <w:rPr>
                <w:sz w:val="20"/>
                <w:szCs w:val="20"/>
                <w:color w:val="auto"/>
              </w:rPr>
            </w:pPr>
            <w:r>
              <w:rPr>
                <w:rFonts w:ascii="Arial" w:cs="Arial" w:eastAsia="Arial" w:hAnsi="Arial"/>
                <w:sz w:val="18"/>
                <w:szCs w:val="18"/>
                <w:color w:val="auto"/>
              </w:rPr>
              <w:t>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6"/>
        </w:trPr>
        <w:tc>
          <w:tcPr>
            <w:tcW w:w="640" w:type="dxa"/>
            <w:vAlign w:val="bottom"/>
          </w:tcPr>
          <w:p>
            <w:pPr>
              <w:spacing w:after="0"/>
              <w:rPr>
                <w:sz w:val="24"/>
                <w:szCs w:val="24"/>
                <w:color w:val="auto"/>
              </w:rPr>
            </w:pPr>
          </w:p>
        </w:tc>
        <w:tc>
          <w:tcPr>
            <w:tcW w:w="2860" w:type="dxa"/>
            <w:vAlign w:val="bottom"/>
            <w:tcBorders>
              <w:top w:val="single" w:sz="8" w:color="0563C1"/>
            </w:tcBorders>
            <w:gridSpan w:val="12"/>
          </w:tcPr>
          <w:p>
            <w:pPr>
              <w:spacing w:after="0"/>
              <w:rPr>
                <w:sz w:val="20"/>
                <w:szCs w:val="20"/>
                <w:color w:val="auto"/>
              </w:rPr>
            </w:pPr>
            <w:r>
              <w:rPr>
                <w:rFonts w:ascii="Arial" w:cs="Arial" w:eastAsia="Arial" w:hAnsi="Arial"/>
                <w:sz w:val="18"/>
                <w:szCs w:val="18"/>
                <w:b w:val="1"/>
                <w:bCs w:val="1"/>
                <w:color w:val="auto"/>
              </w:rPr>
              <w:t>PART IV</w:t>
            </w:r>
          </w:p>
        </w:tc>
        <w:tc>
          <w:tcPr>
            <w:tcW w:w="7220" w:type="dxa"/>
            <w:vAlign w:val="bottom"/>
            <w:gridSpan w:val="12"/>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640" w:type="dxa"/>
            <w:vAlign w:val="bottom"/>
          </w:tcPr>
          <w:p>
            <w:pPr>
              <w:ind w:left="80"/>
              <w:spacing w:after="0" w:line="202" w:lineRule="exact"/>
              <w:rPr>
                <w:sz w:val="20"/>
                <w:szCs w:val="20"/>
                <w:color w:val="auto"/>
              </w:rPr>
            </w:pPr>
            <w:r>
              <w:rPr>
                <w:rFonts w:ascii="Arial" w:cs="Arial" w:eastAsia="Arial" w:hAnsi="Arial"/>
                <w:sz w:val="18"/>
                <w:szCs w:val="18"/>
                <w:color w:val="auto"/>
              </w:rPr>
              <w:t>15</w:t>
            </w:r>
          </w:p>
        </w:tc>
        <w:tc>
          <w:tcPr>
            <w:tcW w:w="10080" w:type="dxa"/>
            <w:vAlign w:val="bottom"/>
            <w:gridSpan w:val="24"/>
          </w:tcPr>
          <w:p>
            <w:pPr>
              <w:spacing w:after="0" w:line="202" w:lineRule="exact"/>
              <w:rPr>
                <w:sz w:val="20"/>
                <w:szCs w:val="20"/>
                <w:color w:val="auto"/>
              </w:rPr>
            </w:pPr>
            <w:r>
              <w:rPr>
                <w:rFonts w:ascii="Arial" w:cs="Arial" w:eastAsia="Arial" w:hAnsi="Arial"/>
                <w:sz w:val="18"/>
                <w:szCs w:val="18"/>
                <w:color w:val="0563C1"/>
              </w:rPr>
              <w:t>Exhibits and Financial Statement Schedules</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68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40" w:type="dxa"/>
            <w:vAlign w:val="bottom"/>
          </w:tcPr>
          <w:p>
            <w:pPr>
              <w:ind w:left="80"/>
              <w:spacing w:after="0"/>
              <w:rPr>
                <w:sz w:val="20"/>
                <w:szCs w:val="20"/>
                <w:color w:val="auto"/>
              </w:rPr>
            </w:pPr>
            <w:r>
              <w:rPr>
                <w:rFonts w:ascii="Arial" w:cs="Arial" w:eastAsia="Arial" w:hAnsi="Arial"/>
                <w:sz w:val="18"/>
                <w:szCs w:val="18"/>
                <w:color w:val="auto"/>
              </w:rPr>
              <w:t>16</w:t>
            </w:r>
          </w:p>
        </w:tc>
        <w:tc>
          <w:tcPr>
            <w:tcW w:w="1560" w:type="dxa"/>
            <w:vAlign w:val="bottom"/>
            <w:tcBorders>
              <w:top w:val="single" w:sz="8" w:color="0563C1"/>
              <w:bottom w:val="single" w:sz="8" w:color="0563C1"/>
            </w:tcBorders>
            <w:gridSpan w:val="7"/>
          </w:tcPr>
          <w:p>
            <w:pPr>
              <w:spacing w:after="0"/>
              <w:rPr>
                <w:sz w:val="20"/>
                <w:szCs w:val="20"/>
                <w:color w:val="auto"/>
              </w:rPr>
            </w:pPr>
            <w:r>
              <w:rPr>
                <w:rFonts w:ascii="Arial" w:cs="Arial" w:eastAsia="Arial" w:hAnsi="Arial"/>
                <w:sz w:val="18"/>
                <w:szCs w:val="18"/>
                <w:color w:val="0563C1"/>
                <w:w w:val="92"/>
              </w:rPr>
              <w:t>Form 10-K Summary</w:t>
            </w:r>
          </w:p>
        </w:tc>
        <w:tc>
          <w:tcPr>
            <w:tcW w:w="1600" w:type="dxa"/>
            <w:vAlign w:val="bottom"/>
            <w:tcBorders>
              <w:top w:val="single" w:sz="8" w:color="0563C1"/>
            </w:tcBorders>
            <w:gridSpan w:val="7"/>
          </w:tcPr>
          <w:p>
            <w:pPr>
              <w:spacing w:after="0"/>
              <w:rPr>
                <w:sz w:val="19"/>
                <w:szCs w:val="19"/>
                <w:color w:val="auto"/>
              </w:rPr>
            </w:pPr>
          </w:p>
        </w:tc>
        <w:tc>
          <w:tcPr>
            <w:tcW w:w="6920" w:type="dxa"/>
            <w:vAlign w:val="bottom"/>
            <w:gridSpan w:val="10"/>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5"/>
        </w:trPr>
        <w:tc>
          <w:tcPr>
            <w:tcW w:w="640" w:type="dxa"/>
            <w:vAlign w:val="bottom"/>
          </w:tcPr>
          <w:p>
            <w:pPr>
              <w:spacing w:after="0"/>
              <w:rPr>
                <w:sz w:val="24"/>
                <w:szCs w:val="24"/>
                <w:color w:val="auto"/>
              </w:rPr>
            </w:pPr>
          </w:p>
        </w:tc>
        <w:tc>
          <w:tcPr>
            <w:tcW w:w="10080" w:type="dxa"/>
            <w:vAlign w:val="bottom"/>
            <w:gridSpan w:val="24"/>
          </w:tcPr>
          <w:p>
            <w:pPr>
              <w:spacing w:after="0"/>
              <w:rPr>
                <w:sz w:val="20"/>
                <w:szCs w:val="20"/>
                <w:color w:val="auto"/>
              </w:rPr>
            </w:pPr>
            <w:r>
              <w:rPr>
                <w:rFonts w:ascii="Arial" w:cs="Arial" w:eastAsia="Arial" w:hAnsi="Arial"/>
                <w:sz w:val="18"/>
                <w:szCs w:val="18"/>
                <w:color w:val="0563C1"/>
              </w:rPr>
              <w:t>Exhibits Index</w:t>
            </w:r>
          </w:p>
        </w:tc>
        <w:tc>
          <w:tcPr>
            <w:tcW w:w="460" w:type="dxa"/>
            <w:vAlign w:val="bottom"/>
          </w:tcPr>
          <w:p>
            <w:pPr>
              <w:jc w:val="right"/>
              <w:spacing w:after="0"/>
              <w:rPr>
                <w:sz w:val="20"/>
                <w:szCs w:val="20"/>
                <w:color w:val="auto"/>
              </w:rPr>
            </w:pPr>
            <w:r>
              <w:rPr>
                <w:rFonts w:ascii="Arial" w:cs="Arial" w:eastAsia="Arial" w:hAnsi="Arial"/>
                <w:sz w:val="18"/>
                <w:szCs w:val="18"/>
                <w:color w:val="auto"/>
              </w:rPr>
              <w:t>68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1060" w:type="dxa"/>
            <w:vAlign w:val="bottom"/>
            <w:tcBorders>
              <w:top w:val="single" w:sz="8" w:color="0563C1"/>
            </w:tcBorders>
            <w:gridSpan w:val="5"/>
          </w:tcPr>
          <w:p>
            <w:pPr>
              <w:spacing w:after="0"/>
              <w:rPr>
                <w:sz w:val="20"/>
                <w:szCs w:val="20"/>
                <w:color w:val="auto"/>
              </w:rPr>
            </w:pPr>
            <w:r>
              <w:rPr>
                <w:rFonts w:ascii="Arial" w:cs="Arial" w:eastAsia="Arial" w:hAnsi="Arial"/>
                <w:sz w:val="18"/>
                <w:szCs w:val="18"/>
                <w:color w:val="0563C1"/>
              </w:rPr>
              <w:t>Signatures</w:t>
            </w:r>
          </w:p>
        </w:tc>
        <w:tc>
          <w:tcPr>
            <w:tcW w:w="9020" w:type="dxa"/>
            <w:vAlign w:val="bottom"/>
            <w:gridSpan w:val="19"/>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51"/>
        </w:trPr>
        <w:tc>
          <w:tcPr>
            <w:tcW w:w="640" w:type="dxa"/>
            <w:vAlign w:val="bottom"/>
          </w:tcPr>
          <w:p>
            <w:pPr>
              <w:spacing w:after="0"/>
              <w:rPr>
                <w:sz w:val="24"/>
                <w:szCs w:val="24"/>
                <w:color w:val="auto"/>
              </w:rPr>
            </w:pPr>
          </w:p>
        </w:tc>
        <w:tc>
          <w:tcPr>
            <w:tcW w:w="760" w:type="dxa"/>
            <w:vAlign w:val="bottom"/>
            <w:tcBorders>
              <w:top w:val="single" w:sz="8" w:color="0563C1"/>
            </w:tcBorders>
            <w:gridSpan w:val="3"/>
          </w:tcPr>
          <w:p>
            <w:pPr>
              <w:spacing w:after="0"/>
              <w:rPr>
                <w:sz w:val="24"/>
                <w:szCs w:val="24"/>
                <w:color w:val="auto"/>
              </w:rPr>
            </w:pPr>
          </w:p>
        </w:tc>
        <w:tc>
          <w:tcPr>
            <w:tcW w:w="4700" w:type="dxa"/>
            <w:vAlign w:val="bottom"/>
            <w:gridSpan w:val="16"/>
          </w:tcPr>
          <w:p>
            <w:pPr>
              <w:jc w:val="right"/>
              <w:ind w:right="440"/>
              <w:spacing w:after="0"/>
              <w:rPr>
                <w:sz w:val="20"/>
                <w:szCs w:val="20"/>
                <w:color w:val="auto"/>
              </w:rPr>
            </w:pPr>
            <w:r>
              <w:rPr>
                <w:rFonts w:ascii="Arial" w:cs="Arial" w:eastAsia="Arial" w:hAnsi="Arial"/>
                <w:sz w:val="18"/>
                <w:szCs w:val="18"/>
                <w:color w:val="auto"/>
              </w:rPr>
              <w:t>2</w:t>
            </w: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4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20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273"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Cautionary Note on Forward-Looking Statements</w:t>
      </w:r>
    </w:p>
    <w:p>
      <w:pPr>
        <w:spacing w:after="0" w:line="18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i w:val="1"/>
          <w:iCs w:val="1"/>
          <w:color w:val="auto"/>
        </w:rPr>
        <w:t>This entire report, including (among other items) Item 1, “Business,” Item 1A, “Risk Factors,” and Item 7, “Management’s Discussion and Analysis of Financial Condition and Results of Operations” and other documents incorporated herein by reference includes forward-looking statements (each a “forward-looking statement”) within the meaning of Section 27A of the Securities Act of 1933, as amended (the “Securities Act”), and Section 21E of the Securities Exchange Act of 1934, as amended (the “Exchange Act”). Forward-looking statements include those preceded by, followed by or including the words “will,” “may,” “should,” “expect,” “intend,” “anticipate,” “believe,” “project,” “forecast,” “propose,” “plan,” “designed,” “estimate,” “enable” and similar expressions. Those forward-looking statements speak only as of the date of this report. We disclaim any obligation to update those statements, except as applicable law may require us to do so, and we caution you not to rely unduly on them. We have based those forward-looking statements on our current expectations and assumptions about future events, which may prove to be inaccurate. While our management considers those expectations and assumptions to be reasonable, they are inherently subject to significant business, economic, competitive, regulatory (including environmental), legal and other risks, contingencies and uncertainties, most of which are difficult to predict and many of which are beyond our control. Therefore, actual results may differ materially and adversely from those expressed in any forward-looking statements. Factors that might cause or contribute to such differences include, but are not limited to, those we discuss in this report under the section entitled “Risk Factors” in Item 1A and the section entitled “Financial Condition, Liquidity and Capital Resources” in Item 7, “Management’s Discussion and Analysis of Financial Condition and Results of Operations,” and in other reports we file with the Securities and Exchange Commission (the “SEC”). The factors we discuss in this report are not necessarily all the important factors that could affect us. Unpredictable or unknown factors we have not discussed in this report also could have material adverse effects on actual results of matters that are the subject of our forward-looking statements. We do not intend to update our description of important factors each time a potentially important factor arises. We advise our existing and potential security holders that they should (1) be aware that important factors to which we do not refer in this report could affect the accuracy of our forward-looking statements and (2) use caution and common sense when considering our forward-looking statements.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PART I</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 Business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Description of the Business</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Yellow Corporation (also referred to as “Yellow,” the “Company,” “we,” “us” or “our”) is a holding company that, through its operating subsidiaries, offers its customers a wide range of transportation services. We have one of the largest, most comprehensive less-than-truckload (“LTL”) networks in North America with local, regional, national and international capabilities. Through our team of experienced service professionals, we offer expertise in LTL shipments and flexible supply chain solutions, ensuring customers can ship industrial, commercial and retail goods with confidence.</w:t>
      </w:r>
    </w:p>
    <w:p>
      <w:pPr>
        <w:spacing w:after="0" w:line="1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Yellow Corporation's LTL subsidiaries include USF Holland LLC (“Holland”), New Penn Motor Express LLC (“New Penn”), USF Reddaway Inc. (“Reddaway”), YRC Inc. and YRC Freight Canada Company (both doing business as, and herein referred to as, “YRC Freight”). Our LTL companies provide services through a consolidated network of facilities located primarily across the United States and Canada. We also offer services through Yellow Logistics, Inc. (“Yellow Logistics” and f/k/a HNRY Logistics, Inc.), our customer-specific logistics solutions provider, specializing in truckload, residential, and warehouse solutions.</w:t>
      </w:r>
    </w:p>
    <w:p>
      <w:pPr>
        <w:spacing w:after="0" w:line="16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Incorporated in Delaware, we employed approximately 30,000 people as of December 31, 2022. The mailing address of our principal executive office is 501 Commerce Street, Suite 1120, Nashville, Tennessee 37203, and our telephone number is (913) 696-6100. Our website is www.myyellow.com. Through the “SEC Filings” link under the “Investors &amp; News” tab on our website, we make our filings available as soon as reasonably practicable after they are electronically filed with or furnished to the SEC, including our Annual Report on Form 10-K, Quarterly Reports on Form 10-Q, Current Reports on Form 8-K, Proxy Statements on Schedule 14A, filings required under Section 16 of the Securities Exchange Act and any amendments to those reports filed or furnished pursuant to Section 13(a) or 15(d) of the Exchange Act. All of these filings may be viewed or printed from our website free of charge.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Description of the Business</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offers a full range of services for the transportation of industrial, commercial and retail goods in national, regional and international markets, primarily through the operation of owned or leased equipment in its North American ground distribution network. Transportation services are provided for various categories of goods, which may include (among others) apparel, appliances, automotive parts, chemicals, food, furniture, glass, machinery, metal, metal products, non-bulk petroleum products, rubber, textiles, wood and other manufactured products or components. The Company provides both LTL services, which combine shipments from multiple customers on a single trailer, and truckload services. Deliveries are predominately LTL shipments with truckload services offered to maximize equipment utilization and reduce empty miles (the distance empty or partially full trailers travel to balance the network). The Company also provides higher-margin specialized services, including guaranteed expedited services, time-specific deliveries, cross-border services, exhibit services, product returns, and government material shipments.</w:t>
      </w:r>
    </w:p>
    <w:p>
      <w:pPr>
        <w:spacing w:after="0" w:line="15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operates throughout North America with one of the largest networks of LTL service centers, equipment and transportation professionals, offering flexible and efficient supply chain solutions serving various customer needs. The Company is a transportation provider to the United States federal government. The Company also provides logistics solutions for customer-specific needs with custom projects, consolidation and distribution, reverse logistics, and residential white glove service offerings. A substantial majority of our services are provided wholly within the United States.</w:t>
      </w:r>
    </w:p>
    <w:p>
      <w:pPr>
        <w:spacing w:after="0" w:line="1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Each of our LTL operating subsidiaries has employees who are represented by the International Brotherhood of Teamsters (“IBT”). These employees represented approximately 82% of our workforce at December 31, 2022. Salaries, wages and employee benefits for both union and non-union employees compose over half of our operating costs.</w:t>
      </w:r>
    </w:p>
    <w:p>
      <w:pPr>
        <w:spacing w:after="0" w:line="14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Company’s employees are dedicated to operating its extensive network which transported approximately 14.2 million shipments in 2022. On December 31, 2022, the Company’s revenue fleet was comprised of approximately 12,700 tractors, including approximately 11,700 owned tractors and 1,000 leased tractors, and approximately 42,000 trailers, including approximately 34,800 owned trailers and 7,200 leased trailers. The Company’s network includes 308 strategically located service facilities including 166 owned facilities with approximately 10,000 doors and 142 leased facilities with approximately 9,100 doors, in addition to six warehouses managed by our logistics solution provider, Yellow Logistics.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Parent Company</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Yellow Corporation's principal executive office is in Nashville, Tennessee. The Company has a field resource center in Overland Park, Kansas that provides centrally-managed support to our operating companies that spans a variety of functions, including</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4" w:name="page5"/>
    <w:bookmarkEnd w:id="4"/>
    <w:p>
      <w:pPr>
        <w:jc w:val="both"/>
        <w:spacing w:after="0" w:line="277" w:lineRule="auto"/>
        <w:rPr>
          <w:sz w:val="20"/>
          <w:szCs w:val="20"/>
          <w:color w:val="auto"/>
        </w:rPr>
      </w:pPr>
      <w:r>
        <w:rPr>
          <w:rFonts w:ascii="Arial" w:cs="Arial" w:eastAsia="Arial" w:hAnsi="Arial"/>
          <w:sz w:val="18"/>
          <w:szCs w:val="18"/>
          <w:color w:val="auto"/>
        </w:rPr>
        <w:t>sales and marketing, information technology, human resources, finance and accounting, legal, transportation management, revenue management, risk management, procurement, and security.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operates in a highly competitive environment. Our competitors include global, integrated freight transportation services providers, global freight forwarders, national freight services providers (including intermodal providers), regional and interregional carriers, third-party logistics providers, and small, intraregional transportation companies. The trucking industry also faces emerging competition from technology firms that specialize in load-matching services and large customers that may use their significant scale advantages to offer transportation services to their suppliers and customers.</w:t>
      </w:r>
    </w:p>
    <w:p>
      <w:pPr>
        <w:spacing w:after="0" w:line="11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also has competitors within several different modes of transportation including: LTL, truckload, air and ocean cargo, intermodal rail, parcel and package companies, transportation consolidators, reverse logistics firms, and privately-owned fleets. Ground-based transportation includes private fleets and “for-hire” provider groups. The private provider segment consists of private fleets owned by companies that move their own goods and materials. The “for-hire” groups are classified based on the typical shipment sizes that they handle. Truckload refers to providers transporting shipments that generally fill an entire dry van, and LTL refers to providers transporting goods from multiple shippers in a single trailer.</w:t>
      </w:r>
    </w:p>
    <w:p>
      <w:pPr>
        <w:spacing w:after="0" w:line="14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LTL transportation providers consolidate numerous shipments (generally ranging from 100 to 20,000 pounds) from varying businesses at service centers within close proximity to where those shipments originated. Utilizing expansive networks of pickup and delivery operations around local service centers, shipments are moved between origin and destination using distribution centers when necessary, where consolidation and deconsolidation of shipments occur. Depending on the distance shipped, LTL carriers are often classified into one of four sub-groups:</w:t>
      </w:r>
    </w:p>
    <w:p>
      <w:pPr>
        <w:spacing w:after="0" w:line="129" w:lineRule="exact"/>
        <w:rPr>
          <w:sz w:val="20"/>
          <w:szCs w:val="20"/>
          <w:color w:val="auto"/>
        </w:rPr>
      </w:pPr>
    </w:p>
    <w:p>
      <w:pPr>
        <w:jc w:val="both"/>
        <w:ind w:left="760" w:hanging="378"/>
        <w:spacing w:after="0" w:line="263"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Regional - Average distance is typically fewer than 500 miles with a focus on one- and two-day delivery times. Regional transportation companies can move shipments directly to their respective destination centers, which increases service reliability and avoids costs associated with intermediate handling.</w:t>
      </w:r>
    </w:p>
    <w:p>
      <w:pPr>
        <w:spacing w:after="0" w:line="142" w:lineRule="exact"/>
        <w:rPr>
          <w:rFonts w:ascii="Arial" w:cs="Arial" w:eastAsia="Arial" w:hAnsi="Arial"/>
          <w:sz w:val="18"/>
          <w:szCs w:val="18"/>
          <w:color w:val="auto"/>
        </w:rPr>
      </w:pPr>
    </w:p>
    <w:p>
      <w:pPr>
        <w:jc w:val="both"/>
        <w:ind w:left="760" w:hanging="378"/>
        <w:spacing w:after="0" w:line="263"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Interregional- Average distance is usually between 500 and 1,000 miles with a focus on two- and three-day delivery times. There is a competitive overlap between regional and national providers in this category, as each group sees the interregional segment as a growth opportunity, and few providers focus exclusively on this sector.</w:t>
      </w:r>
    </w:p>
    <w:p>
      <w:pPr>
        <w:spacing w:after="0" w:line="155" w:lineRule="exact"/>
        <w:rPr>
          <w:rFonts w:ascii="Arial" w:cs="Arial" w:eastAsia="Arial" w:hAnsi="Arial"/>
          <w:sz w:val="18"/>
          <w:szCs w:val="18"/>
          <w:color w:val="auto"/>
        </w:rPr>
      </w:pPr>
    </w:p>
    <w:p>
      <w:pPr>
        <w:jc w:val="both"/>
        <w:ind w:left="760" w:hanging="378"/>
        <w:spacing w:after="0" w:line="311" w:lineRule="auto"/>
        <w:tabs>
          <w:tab w:leader="none" w:pos="760" w:val="left"/>
        </w:tabs>
        <w:numPr>
          <w:ilvl w:val="0"/>
          <w:numId w:val="3"/>
        </w:numPr>
        <w:rPr>
          <w:rFonts w:ascii="Arial" w:cs="Arial" w:eastAsia="Arial" w:hAnsi="Arial"/>
          <w:sz w:val="16"/>
          <w:szCs w:val="16"/>
          <w:color w:val="auto"/>
        </w:rPr>
      </w:pPr>
      <w:r>
        <w:rPr>
          <w:rFonts w:ascii="Arial" w:cs="Arial" w:eastAsia="Arial" w:hAnsi="Arial"/>
          <w:sz w:val="16"/>
          <w:szCs w:val="16"/>
          <w:color w:val="auto"/>
        </w:rPr>
        <w:t>National - Average distance is typically in excess of 1,000 miles with focus on two- to five-day delivery times. National providers rely on intermediate shipment handling through a network of facilities, which require numerous satellite service centers, multiple distribution centers and a relay network. To gain service and cost advantages, they often ship directly between service centers, minimizing intermediate handling.</w:t>
      </w:r>
    </w:p>
    <w:p>
      <w:pPr>
        <w:spacing w:after="0" w:line="107" w:lineRule="exact"/>
        <w:rPr>
          <w:rFonts w:ascii="Arial" w:cs="Arial" w:eastAsia="Arial" w:hAnsi="Arial"/>
          <w:sz w:val="16"/>
          <w:szCs w:val="16"/>
          <w:color w:val="auto"/>
        </w:rPr>
      </w:pPr>
    </w:p>
    <w:p>
      <w:pPr>
        <w:jc w:val="both"/>
        <w:ind w:left="760" w:hanging="378"/>
        <w:spacing w:after="0" w:line="263"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International - Providing freight forwarding and final-mile delivery services to companies shipping to and from multiple regions around the world. This service can be offered through a combination of owned assets or through a purchased transportation model and may involve just one leg of a shipment’s movement between countries.</w:t>
      </w:r>
    </w:p>
    <w:p>
      <w:pPr>
        <w:spacing w:after="0" w:line="14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provides services in all four sub-groups in North America with a heavy concentration of services in the United States. We directly compete in the regional market and use intracompany and external interline relationships to provide service to the interregional and national transportation marketplace. Yellow Logistics is our non-asset-based provider of transportation solutions and competes with asset-based carriers, third-party logistics (“3PL”) firms, forwarders and global integrated freight transportation service providers. The Company competes against a number of providers in these markets, from small firms with one or two vehicles to global competitors with thousands of physical assets and non-asset-based logistics solutions. While we have competitors with a similar multi-dimensional approach, there are few in the traditional LTL segment with as comprehensive an offering in those categories as our brand provides.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 w:name="page6"/>
    <w:bookmarkEnd w:id="5"/>
    <w:p>
      <w:pPr>
        <w:jc w:val="both"/>
        <w:spacing w:after="0" w:line="275" w:lineRule="auto"/>
        <w:rPr>
          <w:sz w:val="20"/>
          <w:szCs w:val="20"/>
          <w:color w:val="auto"/>
        </w:rPr>
      </w:pPr>
      <w:r>
        <w:rPr>
          <w:rFonts w:ascii="Arial" w:cs="Arial" w:eastAsia="Arial" w:hAnsi="Arial"/>
          <w:sz w:val="17"/>
          <w:szCs w:val="17"/>
          <w:color w:val="auto"/>
        </w:rPr>
        <w:t>Asset-based LTL carriers utilize 3PL firms. These asset-light service providers are both our customers and competitors. As customers, these firms aggregate truck shipment demand and distribute that demand across the transportation sector. Asset-based LTL carriers are the providers of shipping capacity to 3PL companies and thus our LTL offerings can benefit from the relationships with 3PL firms. As competitors, 3PLs often control shipper relationships and can shift shipment volumes away from specific carriers. Certain 3PL firms have completed purchases of asset-based LTL carriers and certain LTL carriers have completed purchases of 3PL firms, both of which have and will continue to alter the competitive landscape.</w:t>
      </w:r>
    </w:p>
    <w:p>
      <w:pPr>
        <w:spacing w:after="0" w:line="14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Several technology firms have introduced load-matching technologies for heavyweight freight. Whereas these firms operate similar to a third-party logistics firm, they allow any carrier, of any size, to bid on specific shipment opportunities. They aggregate independent operators, giving shippers an easier means of engaging what has been a highly fragmented segment of trucking. Successfully winning a bid opportunity could be based on a truck’s proximity to the pick-up location, price, or other factors. Just as in the 3PL scenario, we view these as potential opportunities as well as a competitive risk.</w:t>
      </w:r>
    </w:p>
    <w:p>
      <w:pPr>
        <w:spacing w:after="0" w:line="1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Large shippers with significant freight volume and advanced technologies offer transportation management services to their suppliers and customers. These companies often operate their own private fleets and can merge asset and non-asset based transportation solutions to create a competitive, market-facing offer.</w:t>
      </w:r>
    </w:p>
    <w:p>
      <w:pPr>
        <w:spacing w:after="0" w:line="14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Competitive cost of entry into the asset-based LTL sector on a small scale, within a limited service area, is relatively low (although more so than in other sectors of the transportation industry). The larger the service area, the greater the barriers to entry, due primarily to the need for additional equipment and facilities associated with broader geographic service coverage. Broader market coverage in the competitive transportation landscape also requires increased technology investment and the ability to capture cost efficiencies from shipment density (scale), making new market entry on a national basis more difficult. Lastly, our industry has been consistently faced with challenges in competing for human capital resources, including those inherent in driver retention and hiring.</w:t>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Foreign companies have begun to invest in U.S. transportation and supply chain companies. Some of these companies are large, multi-national firms with significant resources across a broad spectrum of the global logistics sector.</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Significant technological investments to improve network efficiency and optimize asset utilization can provide carriers with cost advantages. Further development of density-based pricing strategies require carriers to continue to make investments in scanning and measuring technologies. We have taken significant steps toward implementing these various types of technologies, and other competitors in our industry have made and continue to make investments in these technologies at varying speeds.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operating companies and other interstate motor carriers were substantially deregulated following the enactment of the Motor Carrier Act of 1980, the Trucking Industry Regulatory Reform Act of 1994, the Federal Aviation Administration Authorization of 1994 and the ICC Termination Act of 1995. Prices and services are now largely free of regulatory controls, although the states retained the right to require compliance with safety and insurance requirements, and interstate motor carriers remain subject to regulatory controls imposed by agencies within the U.S. Department of Transportation.</w:t>
      </w:r>
    </w:p>
    <w:p>
      <w:pPr>
        <w:spacing w:after="0" w:line="1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Company is subject to regulatory and legislative changes, which can affect our economics and those of our competitors. Some regulatory changes could potentially impact the pool of available drivers and the costs of compensation of drivers. Various federal and state agencies regulate us, and our operations are also subject to various federal, foreign, state, provincial and local environmental laws and regulations dealing with transportation, storage, presence, use, disposal and handling of hazardous materials, emissions related to the use of petroleum-based fuels, fuel efficiency, discharge of storm-water and underground fuel storage tanks. Our drivers and facility employees are protected by occupational safety and health regulations and our drivers are subject to hours of service regulations. We are also subject to security regulations imposed by the U.S. Department of Homeland Security and other federal and state agencies that are intended to combat terrorism. See the Risk Factors section related to our compliance with laws and regulations in Item 1A of this report.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Matters</w:t>
      </w:r>
    </w:p>
    <w:p>
      <w:pPr>
        <w:spacing w:after="0" w:line="19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operations are subject to U.S. federal, foreign, state, provincial and local regulations with regard to air and water quality and other environmental matters. We believe that we are in substantial compliance with these regulations. Regulation in this area continues to evolve and changes in standards of enforcement of existing regulations, as well as the enactment and enforcement of new legislation or regulation, may require us and our customers to modify, supplement or replace equipment or facilities or to change or discontinue present methods of operation.</w:t>
      </w:r>
    </w:p>
    <w:p>
      <w:pPr>
        <w:spacing w:after="0" w:line="1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operating companies store fuel and lubricating oils for use in our revenue equipment in approximately 174 underground storage tanks located throughout the U.S. Maintenance of such underground storage tanks is regulated at the federal and, in some cases, state level. The underground storage tanks are required to have leak detection systems and are required to be extracted upon our exiting the property.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 w:name="page7"/>
    <w:bookmarkEnd w:id="6"/>
    <w:p>
      <w:pPr>
        <w:jc w:val="both"/>
        <w:spacing w:after="0" w:line="255" w:lineRule="auto"/>
        <w:rPr>
          <w:sz w:val="20"/>
          <w:szCs w:val="20"/>
          <w:color w:val="auto"/>
        </w:rPr>
      </w:pPr>
      <w:r>
        <w:rPr>
          <w:rFonts w:ascii="Arial" w:cs="Arial" w:eastAsia="Arial" w:hAnsi="Arial"/>
          <w:sz w:val="18"/>
          <w:szCs w:val="18"/>
          <w:color w:val="auto"/>
        </w:rPr>
        <w:t>During 2022, we spent approximately $10.6 million to comply with U.S. federal, state and local provisions regulating the discharge of materials into the environment or otherwise relating to the protection of the environment (collectively, “Environmental Regulations”). In 2023, we expect to spend approximately $10.8 million to comply with the Environmental Regulations. Based upon current information, we believe that our compliance with Environmental Regulations will not have a material adverse effect upon our capital expenditures, results of operations and competitive position because we have either made adequate reserves for such compliance expenditures or the cost for such compliance is expected to be small in comparison with our overall expenses.</w:t>
      </w:r>
    </w:p>
    <w:p>
      <w:pPr>
        <w:spacing w:after="0" w:line="1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Comprehensive Environmental Response, Compensation and Liability Act (known as the “Superfund Act”) imposes liability for the release of a “hazardous substance” into the environment. Superfund Act liability is imposed without regard to fault and even if the waste disposal was in compliance with then-current laws and regulations. With the joint and several liabilities imposed under the Superfund Act, a potentially responsible party (“PRP”) may be required to pay more than its proportional share of any required environmental remediation. Several of our subsidiaries have been identified as PRPs at various sites discussed below. The U.S. Environmental Protection Agency (the “EPA”) and appropriate state agencies are supervising investigative and cleanup activities at these sites.</w:t>
      </w:r>
    </w:p>
    <w:p>
      <w:pPr>
        <w:spacing w:after="0" w:line="15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former Yellow Transportation (now a part of YRC Freight) has been alleged to be a PRP for two locations: Angeles Chemical Co., Santa Fe Springs, CA and Alburn Incinerator, Inc., Chicago, IL, which is included in the Lake Calumet Cluster Site. The EPA has issued YRC Freight a Request for Information (“RFI”) regarding Omega Chemical Corporation Superfund Site – Operable Unit 2, Santa Fe Springs, CA. With respect to these sites, there is little, if any evidence that YRC Freight contributed to any contamination and these allegations are not believed to present material exposure, but YRC Freight has entered into a tolling agreement with the Omega Chemical PRP Organized Group.</w:t>
      </w:r>
    </w:p>
    <w:p>
      <w:pPr>
        <w:spacing w:after="0" w:line="13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former Roadway Express (now a part of YRC Freight) has been alleged to be a PRP for three locations: Ward Transformer, Raleigh, NC, Roosevelt Irrigation District, Phoenix, AZ and Berry's Creek, Carlstadt, NJ. There is little, if any, evidence connecting YRC Freight with either the Ward Transformer site or to the Roosevelt Irrigation District’s contaminated groundwater wells and any potential exposure is believed to be immaterial. The EPA and a number of PFPs have performed a Remedial Investigation and Feasibility Study (“RI/FS”) and the EPA has issued a record of decision for an interim remedy for the Berry’s Creek Study Area (“BCSA”). The EPA has requested that YRC Freight participate in designing the remedy (the “Remedial Design”) for the BCSA. YRC Freight does not believe that it is a PRP for the BCSA and has, therefore, declined to participate in the Remedial Design.</w:t>
      </w:r>
    </w:p>
    <w:p>
      <w:pPr>
        <w:spacing w:after="0" w:line="13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EPA has issued the Company an RFI regarding current and former Yellow Transportation and Roadway Express (now YRC Freight) facilities adjacent to or in close proximity of Newtown Creek, NY and its tributaries. None of the Company’s operating companies have been named as a PRP in this matter, but YRC Freight has entered into a tolling agreement with the Newtown Creek Group (“NCG”). The NCG is comprised of five companies and the City of New York who, per Consent Order, have agreed to perform a RI/FS under the supervision of the EPA. The EPA’s website regarding this matter provides status updates of site investigations and study.</w:t>
      </w:r>
    </w:p>
    <w:p>
      <w:pPr>
        <w:spacing w:after="0" w:line="150" w:lineRule="exact"/>
        <w:rPr>
          <w:sz w:val="20"/>
          <w:szCs w:val="20"/>
          <w:color w:val="auto"/>
        </w:rPr>
      </w:pPr>
    </w:p>
    <w:p>
      <w:pPr>
        <w:jc w:val="both"/>
        <w:spacing w:after="0" w:line="341" w:lineRule="auto"/>
        <w:rPr>
          <w:sz w:val="20"/>
          <w:szCs w:val="20"/>
          <w:color w:val="auto"/>
        </w:rPr>
      </w:pPr>
      <w:r>
        <w:rPr>
          <w:rFonts w:ascii="Arial" w:cs="Arial" w:eastAsia="Arial" w:hAnsi="Arial"/>
          <w:sz w:val="16"/>
          <w:szCs w:val="16"/>
          <w:color w:val="auto"/>
        </w:rPr>
        <w:t>USF RedStar LLC, a non-operating subsidiary, has been alleged to be a PRP at three locations: Booth Oil, N. Tonawanda, NY and two separate landfills in Byron, NY and Moira, NY. Holland has been alleged to be a PRP in an RFI for one location, Horton Sales Piedmont Site, Greenville County, SC.</w:t>
      </w:r>
    </w:p>
    <w:p>
      <w:pPr>
        <w:spacing w:after="0" w:line="84" w:lineRule="exact"/>
        <w:rPr>
          <w:sz w:val="20"/>
          <w:szCs w:val="20"/>
          <w:color w:val="auto"/>
        </w:rPr>
      </w:pPr>
    </w:p>
    <w:p>
      <w:pPr>
        <w:jc w:val="both"/>
        <w:ind w:right="20"/>
        <w:spacing w:after="0" w:line="307" w:lineRule="auto"/>
        <w:rPr>
          <w:sz w:val="20"/>
          <w:szCs w:val="20"/>
          <w:color w:val="auto"/>
        </w:rPr>
      </w:pPr>
      <w:r>
        <w:rPr>
          <w:rFonts w:ascii="Arial" w:cs="Arial" w:eastAsia="Arial" w:hAnsi="Arial"/>
          <w:sz w:val="17"/>
          <w:szCs w:val="17"/>
          <w:color w:val="auto"/>
        </w:rPr>
        <w:t>Although the outcome of any legal matter is subject to uncertainties, based on our current knowledge, we believe the potential combined costs at all of the above sites will not be significant and that we have made adequate reserves for complying with future EPA demands at such sites.</w:t>
      </w:r>
    </w:p>
    <w:p>
      <w:pPr>
        <w:spacing w:after="0" w:line="1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While PRPs in Superfund Act actions have joint and several liabilities for all costs of remediation, it is not possible at this time to quantify our ultimate exposure because the projects are either in the investigative or early remediation stage. Based upon current information, we do not believe that probable or reasonably possible expenditures in connection with the sites described above are likely to have a material adverse effect on our financial condition or results of operations because:</w:t>
      </w:r>
    </w:p>
    <w:p>
      <w:pPr>
        <w:spacing w:after="0" w:line="145" w:lineRule="exact"/>
        <w:rPr>
          <w:sz w:val="20"/>
          <w:szCs w:val="20"/>
          <w:color w:val="auto"/>
        </w:rPr>
      </w:pPr>
    </w:p>
    <w:p>
      <w:pPr>
        <w:ind w:left="760" w:right="20" w:hanging="378"/>
        <w:spacing w:after="0" w:line="258"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the extent necessary, we have established adequate reserves to cover the estimate we presently believe will be our liability with respect to the matter;</w:t>
      </w:r>
    </w:p>
    <w:p>
      <w:pPr>
        <w:ind w:left="760" w:hanging="378"/>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and our subsidiaries have only limited or de minimis involvement in the sites based upon volumetric calculations;</w:t>
      </w:r>
    </w:p>
    <w:p>
      <w:pPr>
        <w:spacing w:after="0" w:line="8" w:lineRule="exact"/>
        <w:rPr>
          <w:rFonts w:ascii="Arial" w:cs="Arial" w:eastAsia="Arial" w:hAnsi="Arial"/>
          <w:sz w:val="18"/>
          <w:szCs w:val="18"/>
          <w:color w:val="auto"/>
        </w:rPr>
      </w:pPr>
    </w:p>
    <w:p>
      <w:pPr>
        <w:ind w:left="760" w:hanging="378"/>
        <w:spacing w:after="0"/>
        <w:tabs>
          <w:tab w:leader="none" w:pos="760" w:val="left"/>
        </w:tabs>
        <w:numPr>
          <w:ilvl w:val="0"/>
          <w:numId w:val="4"/>
        </w:numPr>
        <w:rPr>
          <w:rFonts w:ascii="Arial" w:cs="Arial" w:eastAsia="Arial" w:hAnsi="Arial"/>
          <w:sz w:val="16"/>
          <w:szCs w:val="16"/>
          <w:color w:val="auto"/>
        </w:rPr>
      </w:pPr>
      <w:r>
        <w:rPr>
          <w:rFonts w:ascii="Arial" w:cs="Arial" w:eastAsia="Arial" w:hAnsi="Arial"/>
          <w:sz w:val="16"/>
          <w:szCs w:val="16"/>
          <w:color w:val="auto"/>
        </w:rPr>
        <w:t>Other PRPs involved in the sites have substantial assets and may reasonably be expected to pay a larger share of the cost of remediation; and</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 w:name="page8"/>
    <w:bookmarkEnd w:id="7"/>
    <w:p>
      <w:pPr>
        <w:jc w:val="both"/>
        <w:spacing w:after="0" w:line="263" w:lineRule="auto"/>
        <w:rPr>
          <w:sz w:val="20"/>
          <w:szCs w:val="20"/>
          <w:color w:val="auto"/>
        </w:rPr>
      </w:pPr>
      <w:r>
        <w:rPr>
          <w:rFonts w:ascii="Arial" w:cs="Arial" w:eastAsia="Arial" w:hAnsi="Arial"/>
          <w:sz w:val="18"/>
          <w:szCs w:val="18"/>
          <w:color w:val="auto"/>
        </w:rPr>
        <w:t>We are subject to various other governmental proceedings and regulations, including foreign regulations, relating to environmental matters, and are investigating potential violations of Environmental Regulations with respect to certain sites, but we do not believe that any of these matters or investigations is likely to have a material adverse effect on our business, financial condition, liquidity or results of operations.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Factors and Seasonality</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business is subject to a number of general economic factors that may have a material effect on the results of our operations, many of which are largely out of our control. These include supply chain interruptions, the impact of recessionary economic cycles, as well as downturns in our customers’ business cycles, particularly in market segments and industries, such as retail and manufacturing, where we have a significant concentration of customers. Economic conditions may materially affect our customers’ business levels, the amount of transportation services they need and their ability to pay for our services. We operate in a highly price-sensitive and competitive industry, making industry pricing actions, quality of customer service, effective asset utilization and cost control major competitive factors.</w:t>
      </w:r>
    </w:p>
    <w:p>
      <w:pPr>
        <w:spacing w:after="0" w:line="15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All of our revenues are subject to seasonal variations which are common in the trucking industry. Generally, most of the first quarter and the latter part of the fourth quarter are the seasonally weakest while the second and third quarters are the seasonally strongest, as customers tend to reduce shipments prior to and after the winter holiday season. Operating expenses as a percent of revenue tend to be higher, and operating cash flows as a percent of revenue tend to be lower in the winter months, primarily due to colder weather and seasonally lower levels of shipments and the seasonal timing of expenditures. The availability and cost of labor and other operating cost inputs, such as fuel, equipment maintenance and equipment replacements, can significantly impact our overall cost, competitive position within our industry and our resulting earnings and cash flows.</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Consumer and corporate purchasing behaviors may also change due to cyclical economic conditions or changes in consumer trends. For example, consumer retail shopping experienced a significant shift in market share from brick-and-mortar distribution to online purchasing and direct-to-consumer warehouse fulfillment. The Company believes that this shift was notably accelerated due to COVID-19. These changes continue to impact distribution patterns, warehousing and inventory carrying volumes, and subsequent use of LTL.</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People and Culture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commitment to human capital resources is evidenced through an intentional focus on our most important customer, our employees. Their safety and wellness, both physical and mental, are our top priority as we strive to create a culture of collaboration, inclusion, integrity, accountability, and respect. We believe the Company's success in serving our external customers will depend on our commitment to these values, and our ability to attract, develop, and retain diversely talented individuals.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will create an inclusive and diversely engaged workforce where employees experience a sense of purpose, belonging, and ownership of their work. Strategically utilizing the unique experiences and perspectives of our nearly 30,000 employees, including approximately 24,000 unionized employees, along with their industry-specific knowledge and skills will improve our operational capacity, our organizational performance, and, most importantly, our workplace culture.</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Our employee-led Diversity, Equity, Inclusion and Belonging ("DEIB") Council collaborates with our workforce to develop concrete, strategic objectives that prioritize and drive accountability for the development of equitable policies, practices, and programs that are </w:t>
      </w:r>
      <w:r>
        <w:rPr>
          <w:rFonts w:ascii="Arial" w:cs="Arial" w:eastAsia="Arial" w:hAnsi="Arial"/>
          <w:sz w:val="18"/>
          <w:szCs w:val="18"/>
          <w:i w:val="1"/>
          <w:iCs w:val="1"/>
          <w:color w:val="auto"/>
        </w:rPr>
        <w:t>people and culture-focused.</w:t>
      </w:r>
      <w:r>
        <w:rPr>
          <w:rFonts w:ascii="Arial" w:cs="Arial" w:eastAsia="Arial" w:hAnsi="Arial"/>
          <w:sz w:val="18"/>
          <w:szCs w:val="18"/>
          <w:color w:val="auto"/>
        </w:rPr>
        <w:t xml:space="preserve"> The DEIB Council proactively identifies, engages with, and advocates for diverse ideas, interests, and perspectives to center and provide platforms for historically oppressed groups.</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Likewise, the Company named a Vice President of Workforce Diversity to guide people and culture efforts who in collaboration with the DEIB Council, provides strategic direction, sets organizational objectives, and leads DEIB initiatives and programs. We have been honored to receive several awards and form partnerships highlighting our employees' efforts supporting our commitment to diversity and inclusion including </w:t>
      </w:r>
      <w:r>
        <w:rPr>
          <w:rFonts w:ascii="Arial" w:cs="Arial" w:eastAsia="Arial" w:hAnsi="Arial"/>
          <w:sz w:val="17"/>
          <w:szCs w:val="17"/>
          <w:i w:val="1"/>
          <w:iCs w:val="1"/>
          <w:color w:val="auto"/>
        </w:rPr>
        <w:t>Top Company for Women to Work for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 Transportation, Military Friendly Employer, </w:t>
      </w:r>
      <w:r>
        <w:rPr>
          <w:rFonts w:ascii="Arial" w:cs="Arial" w:eastAsia="Arial" w:hAnsi="Arial"/>
          <w:sz w:val="17"/>
          <w:szCs w:val="17"/>
          <w:color w:val="auto"/>
        </w:rPr>
        <w:t>the</w:t>
      </w:r>
      <w:r>
        <w:rPr>
          <w:rFonts w:ascii="Arial" w:cs="Arial" w:eastAsia="Arial" w:hAnsi="Arial"/>
          <w:sz w:val="17"/>
          <w:szCs w:val="17"/>
          <w:i w:val="1"/>
          <w:iCs w:val="1"/>
          <w:color w:val="auto"/>
        </w:rPr>
        <w:t xml:space="preserve"> National Defense Transportation Association Pathfinder Society Award, ATA 2022 Diversity, Equity &amp; Inclusion Change Leader Award , and the U.S. Army Partnership for Your Success (PaYS) program.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Safety and Wellness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number one core value for Yellow has always been safety. Hazards are actively identified and controlled. As a team, we hold ourselves accountable to keep ourselves and others safe, including customers and the general public. We actively provide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 w:name="page9"/>
    <w:bookmarkEnd w:id="8"/>
    <w:p>
      <w:pPr>
        <w:jc w:val="both"/>
        <w:spacing w:after="0" w:line="263" w:lineRule="auto"/>
        <w:rPr>
          <w:sz w:val="20"/>
          <w:szCs w:val="20"/>
          <w:color w:val="auto"/>
        </w:rPr>
      </w:pPr>
      <w:r>
        <w:rPr>
          <w:rFonts w:ascii="Arial" w:cs="Arial" w:eastAsia="Arial" w:hAnsi="Arial"/>
          <w:sz w:val="18"/>
          <w:szCs w:val="18"/>
          <w:color w:val="auto"/>
        </w:rPr>
        <w:t>leadership and frontline development to meet regulatory requirements and promote a culture of safety in all we do. Our recognition systems reinforce safe behaviors with a focus on exposure control as well as injury and collision reduction. A safety governance structure from the terminal level to the Board of Directors is in place to oversee strategic initiatives related to safety policies, practices, and protocols.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Training and Development</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CDL Apprenticeship program provides paid training for current employees or newly hired employees. In addition to classroom preparation for a commercial driver's license, students are given behind-the-wheel skills development to prepare for a career in trucking. The Yellow Driving Academies have expanded to 21 locations across the U.S. to address the nationwide shortage of experienced drivers. The comprehensive training is registered through the Department of Labor and is compliant with the Federal Motor Carrier Safety Administration ("FMCSA") Entry-Level Driver Training requirements. Student training emphasizes safe driving habits through extended on road skills training.</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In addition to our driver training program, Yellow also received the Association for Talent Development’s 2022 BEST award for the third year in a row.</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This award recognizes organizations that demonstrate enterprise-wide success as a result of employee talent development.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1A. Risk Factors</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the risks and uncertainties described elsewhere in this report or in our other SEC filings, the following risk factors should be considered carefully in evaluating us. These risks could have a material adverse effect on our business, financial condition (including our liquidity), results of operations and cash flows.</w:t>
      </w:r>
    </w:p>
    <w:p>
      <w:pPr>
        <w:spacing w:after="0" w:line="1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 Risks</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subject to general economic factors that are largely out of our control, any of which could have a material adverse effect on our business, financial condition, results of operations and cash flows.</w:t>
      </w:r>
    </w:p>
    <w:p>
      <w:pPr>
        <w:spacing w:after="0" w:line="16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business is subject to a number of general economic factors, including the health of the economy, global trade tensions, global or national health epidemics and pandemics, and fluctuating interest rates, among others that may adversely affect our business, financial condition and results of operations, many of which are largely out of our control. These factors include recessionary economic cycles and downturns in customers’ business cycles and changes in their business practices, particularly in market segments and industries, such as retail and manufacturing, where we have a significant concentration of customers. Economic conditions may adversely affect our customers’ business levels, the amount of transportation services they need and their ability to pay for our services. Because a portion of our costs are fixed, it may be difficult for us to quickly adjust our cost structure proportionally with fluctuations in volume levels. Customers encountering adverse economic conditions represent a greater potential for loss, and we may be required to increase our reserve for bad debt losses. Further, we depend on our suppliers for equipment, parts and services that are critical to our business. A disruption in the availability of these supplies or a material increase in their cost due to adverse economic conditions or financial constraints of our suppliers could adversely impact our business, financial condition, results of operations and cash flows.</w:t>
      </w:r>
    </w:p>
    <w:p>
      <w:pPr>
        <w:spacing w:after="0" w:line="18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Regarding our operating costs, inflationary pressures occurred throughout 2022 and are expected to persist in the near term. We cannot predict future economic conditions, fuel price fluctuations, revenue equipment resale values, or how consumer confidence and shipping volumes could be affected by such conditions.</w:t>
      </w:r>
    </w:p>
    <w:p>
      <w:pPr>
        <w:spacing w:after="0" w:line="200" w:lineRule="exact"/>
        <w:rPr>
          <w:sz w:val="20"/>
          <w:szCs w:val="20"/>
          <w:color w:val="auto"/>
        </w:rPr>
      </w:pPr>
    </w:p>
    <w:p>
      <w:pPr>
        <w:spacing w:after="0" w:line="397"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Difficulties attracting and retaining qualified drivers could result in increases in driver compensation and purchased transportation costs and could adversely affect our growth potential and profitability.</w:t>
      </w:r>
    </w:p>
    <w:p>
      <w:pPr>
        <w:spacing w:after="0" w:line="12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need to attract new qualified drivers and may face difficulty doing so. Like many in the trucking industry, it is important to our business that we retain the necessary number of qualified drivers to operate efficiently. Regulatory requirements, including the Compliance Safety Accountability program (“CSA”) of the FMCSA, have reduced the number of eligible employee drivers and independent contractors and may continue to do so in the future. Future Company driver shortages may result in less than optimal use of rail and over-the-road purchased transportation, which may result in higher costs to the Company and which use is limited under our collective bargaining agreement with the International Brotherhood of Teamsters ("IBT"). The compensation we offer our drivers is subject to market conditions, and we may find it necessary to increase driver compensation, including both wages and benefits, in future periods if we must attract new drivers. In addition, we and our industry suffer from a high driver turnover rate. Driver turnover requires us to continually recruit a substantial number of drivers in order to operate existing revenue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3" w:right="339" w:bottom="1440" w:gutter="0" w:footer="0" w:header="0"/>
        </w:sectPr>
      </w:pPr>
    </w:p>
    <w:bookmarkStart w:id="9" w:name="page10"/>
    <w:bookmarkEnd w:id="9"/>
    <w:p>
      <w:pPr>
        <w:jc w:val="both"/>
        <w:spacing w:after="0" w:line="341" w:lineRule="auto"/>
        <w:rPr>
          <w:sz w:val="20"/>
          <w:szCs w:val="20"/>
          <w:color w:val="auto"/>
        </w:rPr>
      </w:pPr>
      <w:r>
        <w:rPr>
          <w:rFonts w:ascii="Arial" w:cs="Arial" w:eastAsia="Arial" w:hAnsi="Arial"/>
          <w:sz w:val="16"/>
          <w:szCs w:val="16"/>
          <w:color w:val="auto"/>
        </w:rPr>
        <w:t>equipment. If we are unable to continue to retain drivers and attract new drivers when needed, we could be required to adjust our compensation packages, increase our use of purchased transportation, or let tractors sit idle, any of which would adversely affect our growth potential and profitability.</w:t>
      </w:r>
    </w:p>
    <w:p>
      <w:pPr>
        <w:spacing w:after="0" w:line="93"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color w:val="auto"/>
        </w:rPr>
        <w:t>If our relationship with our employees and unions were to deteriorate, we may be faced with increased labor costs, labor disruptions or stoppages or general uncertainty by our customers, which could have a material adverse effect on our business, financial condition, results of operations and cash flows, result in a loss of customers, and place us at a disadvantage relative to competitors.</w:t>
      </w:r>
    </w:p>
    <w:p>
      <w:pPr>
        <w:spacing w:after="0" w:line="1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Each of our operating subsidiaries has employees who are represented by the IBT. These employees represented approximately 82% of our workforce at December 31, 2022. Salaries, wages and employee benefits for both union and non-union employees compose over half of our operating costs, which for union employees include multi-employer pension and health and welfare plans. The labor and benefit expenses associated with the union employees are subject to regular negotiation with the IBT primarily upon the expiration of union labor agreements. Each of our YRC Freight, New Penn, Holland and Reddaway subsidiaries employ most of their unionized employees under the terms of a common master collective bargaining agreement and related supplemental agreements that remain in effect through March 31, 2024. The IBT also represents a number of employees at YRC Freight in Canada under more localized agreements, which have wages, benefit contributions and other terms and conditions that we believe better fit the cost structure and operating models of this entity.</w:t>
      </w:r>
    </w:p>
    <w:p>
      <w:pPr>
        <w:spacing w:after="0" w:line="1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subsidiaries are regularly subject to grievances, arbitration proceedings and other claims concerning alleged past and current non-compliance with applicable labor law and collective bargaining agreements. We cannot predict the outcome of any of these matters. These matters, if resolved in a manner unfavorable to us, could have a material adverse effect on our business, financial condition, liquidity and results of operations.</w:t>
      </w:r>
    </w:p>
    <w:p>
      <w:pPr>
        <w:spacing w:after="0" w:line="133" w:lineRule="exact"/>
        <w:rPr>
          <w:sz w:val="20"/>
          <w:szCs w:val="20"/>
          <w:color w:val="auto"/>
        </w:rPr>
      </w:pPr>
    </w:p>
    <w:p>
      <w:pPr>
        <w:jc w:val="both"/>
        <w:ind w:right="20"/>
        <w:spacing w:after="0" w:line="281" w:lineRule="auto"/>
        <w:rPr>
          <w:sz w:val="20"/>
          <w:szCs w:val="20"/>
          <w:color w:val="auto"/>
        </w:rPr>
      </w:pPr>
      <w:r>
        <w:rPr>
          <w:rFonts w:ascii="Arial" w:cs="Arial" w:eastAsia="Arial" w:hAnsi="Arial"/>
          <w:sz w:val="18"/>
          <w:szCs w:val="18"/>
          <w:b w:val="1"/>
          <w:bCs w:val="1"/>
          <w:color w:val="auto"/>
        </w:rPr>
        <w:t>We depend on the services of key employees and the loss of any substantial number of these individuals or an inability to hire additional personnel could adversely affect us.</w:t>
      </w:r>
    </w:p>
    <w:p>
      <w:pPr>
        <w:spacing w:after="0" w:line="34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success is dependent upon our ability to attract and retain skilled employees, particularly personnel with significant management and leadership skills. If we are unable to attract and retain skilled key employees, we may be unable to accomplish the objectives set forth in our business and strategic plans. Further, compensation for many of these key employees is limited by the terms of our UST Tranche A Loan Credit Agreement (the “Tranche A UST Credit Agreement”) entered into by the Company and certain of its subsidiaries, as guarantors (the “Term Guarantors”), with The Bank of New York Mellon, as administrative agent and collateral agent, and the UST Tranche B Term Loan Credit Agreement (the “Tranche B UST Credit Agreement”) entered into by the Company and Term Guarantors, with The Bank of New York Mellon, as administrative agent and collateral agent (the Tranche A UST Credit Agreement and the Tranche B UST Credit Agreement are collectively referred to herein as, the “UST Credit Agreements”).</w:t>
      </w:r>
    </w:p>
    <w:p>
      <w:pPr>
        <w:spacing w:after="0" w:line="336" w:lineRule="exact"/>
        <w:rPr>
          <w:sz w:val="20"/>
          <w:szCs w:val="20"/>
          <w:color w:val="auto"/>
        </w:rPr>
      </w:pPr>
    </w:p>
    <w:p>
      <w:pPr>
        <w:jc w:val="both"/>
        <w:spacing w:after="0" w:line="346" w:lineRule="auto"/>
        <w:rPr>
          <w:sz w:val="20"/>
          <w:szCs w:val="20"/>
          <w:color w:val="auto"/>
        </w:rPr>
      </w:pPr>
      <w:r>
        <w:rPr>
          <w:rFonts w:ascii="Arial" w:cs="Arial" w:eastAsia="Arial" w:hAnsi="Arial"/>
          <w:sz w:val="16"/>
          <w:szCs w:val="16"/>
          <w:b w:val="1"/>
          <w:bCs w:val="1"/>
          <w:color w:val="auto"/>
        </w:rPr>
        <w:t>We depend on third-party capacity providers, and service instability from these transportation providers could increase our operating costs and reduce our ability to offer intermodal services, which could adversely affect our revenue, results of operations, and customer relationships.</w:t>
      </w:r>
    </w:p>
    <w:p>
      <w:pPr>
        <w:spacing w:after="0" w:line="9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intermodal operations use railroads and some third-party drayage carriers to transport freight for our customers, and intermodal dependence on railroads could increase as intermodal services expand. In certain markets, rail service is limited to a few railroads or even a single railroad. Intermodal providers have experienced poor service from providers of rail-based services in the past. Our ability to provide intermodal services in certain traffic lanes would be reduced or eliminated if the railroads' services became unstable. Railroads could reduce their services in the future, which could increase the cost of the rail-based services we provide and could reduce the reliability, timeliness, efficiency, and overall attractiveness of our rail-based intermodal services. Furthermore, price increases could result in higher costs to us, which we may be unable to pass on to our customers and could result in the reduction or elimination of our ability to offer intermodal services. In addition, we may not be able to negotiate additional contracts with railroads to expand our capacity, add additional routes, obtain multiple providers, or obtain railroad services at current cost levels, any of which could limit our ability to provide this service.</w:t>
      </w:r>
    </w:p>
    <w:p>
      <w:pPr>
        <w:spacing w:after="0" w:line="200" w:lineRule="exact"/>
        <w:rPr>
          <w:sz w:val="20"/>
          <w:szCs w:val="20"/>
          <w:color w:val="auto"/>
        </w:rPr>
      </w:pPr>
    </w:p>
    <w:p>
      <w:pPr>
        <w:spacing w:after="0" w:line="205"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We operate in a highly competitive industry, and our business will suffer if we are unable to adapt to competitive pressures which could have a material adverse effect on our business, financial condition, results of operations and cash flows.</w:t>
      </w:r>
    </w:p>
    <w:p>
      <w:pPr>
        <w:spacing w:after="0" w:line="7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Numerous competitive factors could adversely affect our business, financial condition, results of operations and cash flows. These factors include the following:</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0" w:name="page11"/>
    <w:bookmarkEnd w:id="10"/>
    <w:p>
      <w:pPr>
        <w:ind w:left="760" w:right="20" w:hanging="378"/>
        <w:spacing w:after="0" w:line="258"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compete with many other transportation service providers of varying sizes and types, many of which have a lower cost structure, more and/or newer equipment and greater capital resources than we do or have other competitive advantages;</w:t>
      </w:r>
    </w:p>
    <w:p>
      <w:pPr>
        <w:ind w:left="760" w:hanging="378"/>
        <w:spacing w:after="0" w:line="250"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Some of our competitors periodically reduce their prices to gain business, especially during times of reduced growth rates in the economy, which limits our ability to maintain or increase prices or maintain or grow our business;</w:t>
      </w: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customers may negotiate rates or contracts that minimize or eliminate our ability to offset fuel prices through fuel surcharges;</w:t>
      </w:r>
    </w:p>
    <w:p>
      <w:pPr>
        <w:spacing w:after="0" w:line="8" w:lineRule="exact"/>
        <w:rPr>
          <w:rFonts w:ascii="Arial" w:cs="Arial" w:eastAsia="Arial" w:hAnsi="Arial"/>
          <w:sz w:val="18"/>
          <w:szCs w:val="18"/>
          <w:color w:val="auto"/>
        </w:rPr>
      </w:pPr>
    </w:p>
    <w:p>
      <w:pPr>
        <w:ind w:left="760" w:hanging="378"/>
        <w:spacing w:after="0" w:line="250"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Many customers reduce the number of carriers they use by selecting so-called “core carriers” as approved transportation service providers, and in some instances, we may not be selected;</w:t>
      </w:r>
    </w:p>
    <w:p>
      <w:pPr>
        <w:ind w:left="760" w:hanging="378"/>
        <w:spacing w:after="0" w:line="250"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Many customers periodically accept bids from multiple carriers for their shipping needs, which may depress prices or result in the loss of some business to competitors;</w:t>
      </w:r>
    </w:p>
    <w:p>
      <w:pPr>
        <w:ind w:left="760" w:hanging="378"/>
        <w:spacing w:after="0" w:line="250"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trend towards consolidation in the ground transportation industry may create other large carriers with greater financial resources and other competitive advantages relating to their size;</w:t>
      </w:r>
    </w:p>
    <w:p>
      <w:pPr>
        <w:ind w:left="760" w:hanging="378"/>
        <w:spacing w:after="0" w:line="250"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Advances in technology require increased investments to remain competitive and our customers may not be willing to accept higher prices to cover the cost of these investments;</w:t>
      </w:r>
    </w:p>
    <w:p>
      <w:pPr>
        <w:jc w:val="both"/>
        <w:ind w:left="760" w:hanging="378"/>
        <w:spacing w:after="0" w:line="250"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Brand recognition and strength is of ongoing importance and can be impacted, suddenly or over time, by factors such as adverse publicity and environmental, social and governance (“ESG”) perceptions or profile ratings in the rapidly evolving field of ESG analysis which is likely to gain significance if greenhouse gas or similar disclosure regulations become effective;</w:t>
      </w:r>
    </w:p>
    <w:p>
      <w:pPr>
        <w:ind w:left="760" w:hanging="378"/>
        <w:spacing w:after="0"/>
        <w:tabs>
          <w:tab w:leader="none" w:pos="76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Competition from non-asset-based logistics and freight brokerage companies may adversely affect our customer relationships and prices; and</w:t>
      </w:r>
    </w:p>
    <w:p>
      <w:pPr>
        <w:spacing w:after="0" w:line="31" w:lineRule="exact"/>
        <w:rPr>
          <w:rFonts w:ascii="Arial" w:cs="Arial" w:eastAsia="Arial" w:hAnsi="Arial"/>
          <w:sz w:val="16"/>
          <w:szCs w:val="16"/>
          <w:color w:val="auto"/>
        </w:rPr>
      </w:pPr>
    </w:p>
    <w:p>
      <w:pPr>
        <w:ind w:left="760" w:hanging="378"/>
        <w:spacing w:after="0"/>
        <w:tabs>
          <w:tab w:leader="none" w:pos="760" w:val="left"/>
        </w:tabs>
        <w:numPr>
          <w:ilvl w:val="0"/>
          <w:numId w:val="5"/>
        </w:numPr>
        <w:rPr>
          <w:rFonts w:ascii="Arial" w:cs="Arial" w:eastAsia="Arial" w:hAnsi="Arial"/>
          <w:sz w:val="16"/>
          <w:szCs w:val="16"/>
          <w:color w:val="auto"/>
        </w:rPr>
      </w:pPr>
      <w:r>
        <w:rPr>
          <w:rFonts w:ascii="Arial" w:cs="Arial" w:eastAsia="Arial" w:hAnsi="Arial"/>
          <w:sz w:val="16"/>
          <w:szCs w:val="16"/>
          <w:color w:val="auto"/>
        </w:rPr>
        <w:t>As a union carrier, we may have a competitive disadvantage compared to non-union carriers with lower costs and greater operating flexibility.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realize the expected benefits and cost savings from operational changes and performance improvement initiatives.</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initiate operational changes and process improvements to reduce costs and improve financial performance. These changes and initiatives typically include evaluating management talent, reducing overhead costs, closing facilities, making upgrades to our technology, eliminating non-core assets and unnecessary activities and implementing changes of operations under our labor agreements. There is no assurance that any changes and improvements will be successful, that their implementation may not have an adverse impact on our operating results or that we will not have to initiate additional changes and improvements in order to achieve the projected benefits and cost savings.</w:t>
      </w:r>
    </w:p>
    <w:p>
      <w:pPr>
        <w:spacing w:after="0" w:line="171"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We are subject to business risks and increasing costs associated with the transportation industry that are largely out of our control, any of which could have a material adverse effect on our business, financial condition, results of operations and cash flows.</w:t>
      </w:r>
    </w:p>
    <w:p>
      <w:pPr>
        <w:spacing w:after="0" w:line="1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subject to business risks and increasing costs associated with the transportation industry that are largely out of our control, any of which could adversely affect our business, financial condition and results of operations. The factors contributing to these risks and costs include increasing equipment and operational costs, weather, fuel prices, interest rates, insurance premiums, self-insurance levels, license and registration fees, potential harm by security measures associated with anti-terrorism concerns and excess capacity in the transportation industry, as well as the other factors discussed in this risk factor section. Further, we periodically need to upgrade or change our technology systems, which may be costly and could disrupt or reduce the efficiency of our operations.</w:t>
      </w:r>
    </w:p>
    <w:p>
      <w:pPr>
        <w:spacing w:after="0" w:line="187" w:lineRule="exact"/>
        <w:rPr>
          <w:sz w:val="20"/>
          <w:szCs w:val="20"/>
          <w:color w:val="auto"/>
        </w:rPr>
      </w:pPr>
    </w:p>
    <w:p>
      <w:pPr>
        <w:jc w:val="both"/>
        <w:ind w:right="20"/>
        <w:spacing w:after="0" w:line="281" w:lineRule="auto"/>
        <w:rPr>
          <w:sz w:val="20"/>
          <w:szCs w:val="20"/>
          <w:color w:val="auto"/>
        </w:rPr>
      </w:pPr>
      <w:r>
        <w:rPr>
          <w:rFonts w:ascii="Arial" w:cs="Arial" w:eastAsia="Arial" w:hAnsi="Arial"/>
          <w:sz w:val="18"/>
          <w:szCs w:val="18"/>
          <w:b w:val="1"/>
          <w:bCs w:val="1"/>
          <w:color w:val="auto"/>
        </w:rPr>
        <w:t>We have significant ongoing capital expenditure requirements that could have a material adverse effect on our business, financial condition, results of operations and cash flows if we are unable to generate sufficient cash from operations.</w:t>
      </w:r>
    </w:p>
    <w:p>
      <w:pPr>
        <w:spacing w:after="0" w:line="14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business is capital intensive and we will need to continue to update our fleet. If we are unable to generate sufficient cash over an extended period of time from operations to fund our capital requirements, we may have to limit our growth, utilize our existing liquidity, or enter into additional financing arrangements, including leasing arrangements, or operate our revenue equipment (including tractors and trailers) for longer periods resulting in increased maintenance costs, any of which could negatively impact our results of operations and other financial measures. If our cash from operations and existing financing arrangements is not sufficient to fund our current and longer-term capital expenditure requirements, then we may not be able to obtain additional financing at all or on terms acceptable to us.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the impact of weather affect our operations and profitability.</w:t>
      </w:r>
    </w:p>
    <w:p>
      <w:pPr>
        <w:spacing w:after="0" w:line="18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As is common in the trucking industry, our revenues are subject to seasonal variations. During late fourth quarter and early first quarter each year, we normally would expect operating expenses as a percent of revenue to increase and operating cash flows as a percent of revenue to decrease as compared to the rest of the year. The seasonal impact is primarily due to inclement weather,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1" w:name="page12"/>
    <w:bookmarkEnd w:id="11"/>
    <w:p>
      <w:pPr>
        <w:jc w:val="both"/>
        <w:spacing w:after="0" w:line="259" w:lineRule="auto"/>
        <w:rPr>
          <w:sz w:val="20"/>
          <w:szCs w:val="20"/>
          <w:color w:val="auto"/>
        </w:rPr>
      </w:pPr>
      <w:r>
        <w:rPr>
          <w:rFonts w:ascii="Arial" w:cs="Arial" w:eastAsia="Arial" w:hAnsi="Arial"/>
          <w:sz w:val="18"/>
          <w:szCs w:val="18"/>
          <w:color w:val="auto"/>
        </w:rPr>
        <w:t>seasonally lower levels of shipments, and the seasonal timing of expenditures. We anticipate these seasonal trends will continue to impact our financial results and liquidity. Climate conditions and volatile changes in weather conditions, including extreme heat or cold, could increase the risk of wildfires, floods, blizzards, hurricanes and other weather-related disasters or climate condition changes, which could impact our ability to timely meet, or increase the cost of meeting, our obligations, impacting our financial results.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fuel prices and shortages of fuel can have a material adverse effect on the results of operations and profitability.</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To lessen the effect of fluctuating fuel prices on our margins, we utilize a fuel surcharge program with our customers. These programs are common in the trucking industry and involve adjusting amounts charged to customers as fuel prices fluctuate. In the short term, under our present fuel surcharge program, rising fuel costs generally benefit us while falling fuel costs have a negative impact on our results of operations, though these effects are typically moderated over time. However, rapid material changes in the index upon which we base our program or our cost of fuel could significantly impact our revenue and operating income, resulting in a material adverse effect on our financial condition, results of operations and cash flows.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In addition, fuel shortages and petroleum product rationing could have a material adverse impact on our operations and profitability.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Damage to our corporate reputation may cause our business to suffer.</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business depends, in part, on our ability to maintain the positive image of our brand. Service, performance, and safety issues, whether actual or perceived and whether as a result of our actions or those of our third-party contract carriers and their drivers and owner operators or other third-party service providers, could adversely impact our customers’ image of our brands and result in the loss of business. Adverse publicity regarding labor relations, legal matters, cybersecurity and data privacy concerns, environmental and sustainability issues, other ESG matters and analyses, and similar matters, even when based on erroneous information, could have a negative impact on our reputation and may result in the loss of customers and our inability to secure new customer relationships. Damage to our reputation and loss of brand equity could reduce demand for our services and, thus, have an adverse effect on our business, results of operations, and financial condition, as well as require additional resources to rebuild our reputation and restore the value of our brands.</w:t>
      </w:r>
    </w:p>
    <w:p>
      <w:pPr>
        <w:spacing w:after="0" w:line="152" w:lineRule="exact"/>
        <w:rPr>
          <w:sz w:val="20"/>
          <w:szCs w:val="20"/>
          <w:color w:val="auto"/>
        </w:rPr>
      </w:pPr>
    </w:p>
    <w:p>
      <w:pPr>
        <w:jc w:val="both"/>
        <w:ind w:right="20"/>
        <w:spacing w:after="0" w:line="281" w:lineRule="auto"/>
        <w:rPr>
          <w:sz w:val="20"/>
          <w:szCs w:val="20"/>
          <w:color w:val="auto"/>
        </w:rPr>
      </w:pPr>
      <w:r>
        <w:rPr>
          <w:rFonts w:ascii="Arial" w:cs="Arial" w:eastAsia="Arial" w:hAnsi="Arial"/>
          <w:sz w:val="18"/>
          <w:szCs w:val="18"/>
          <w:b w:val="1"/>
          <w:bCs w:val="1"/>
          <w:color w:val="auto"/>
        </w:rPr>
        <w:t>Ongoing self-insurance and claims expenses could have a material adverse effect on our business, financial condition, results of operations and cash flows.</w:t>
      </w:r>
    </w:p>
    <w:p>
      <w:pPr>
        <w:spacing w:after="0" w:line="14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future insurance and claims expenses might exceed historical levels. We currently self-insure for a majority of our claims exposure resulting from workers’ compensation, third-party liability claims, and cargo, supplemented by high deductible purchased insurance. If the number or severity of claims for which we are self-insured increases, our business, financial condition and results of operations could be adversely affected, and we may have to post additional letters of credit or cash collateral to state workers’ compensation authorities or insurers to support our insurance policies, which may adversely affect our liquidity. If we lose our ability to self-insure or have to increase retention limits to offset rising insurance premium costs our insurance costs could materially increase, and we may find it difficult to obtain adequate levels of insurance coverage.</w:t>
      </w:r>
    </w:p>
    <w:p>
      <w:pPr>
        <w:spacing w:after="0" w:line="13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self-insured retention limits can make our insurance and claims expense higher and/or more volatile. We accrue for the costs of the uninsured portion of pending claims based on the nature and severity of individual claims and historical claims development trends. Estimating the number and severity of claims, as well as related judgment or settlement amounts is inherently difficult. This, along with legal expenses associated with claims, incurred but not reported claims, and other uncertainties can cause unfavorable differences between actual self-insurance costs and our reserve estimates.</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general, our insurance coverage with respect to each of workers’ compensation, property damage and liability claims, and cargo claims is subject to policy limits. Although we believe our aggregate insurance policy limits are sufficient to cover reasonably expected claims, it is possible that one or more claims could exceed those limits. In this case, we would bear the excess expense, in addition to the amount of our self-insurance retention. Our insurance and claims expense could increase, or we could find it necessary to raise our self-insured retention or decrease our aggregate coverage limits when our policies are renewed or replaced.</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or future litigation may adversely affect our business, financial condition, results of operations and cash flows.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been and continue to be involved in legal proceedings, claims and other litigation that arise in the ordinary course of business. Litigation may be related to labor and employment, competitive matters, third-party liability claims, safety and contract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2" w:name="page13"/>
    <w:bookmarkEnd w:id="12"/>
    <w:p>
      <w:pPr>
        <w:jc w:val="both"/>
        <w:spacing w:after="0" w:line="270" w:lineRule="auto"/>
        <w:rPr>
          <w:sz w:val="20"/>
          <w:szCs w:val="20"/>
          <w:color w:val="auto"/>
        </w:rPr>
      </w:pPr>
      <w:r>
        <w:rPr>
          <w:rFonts w:ascii="Arial" w:cs="Arial" w:eastAsia="Arial" w:hAnsi="Arial"/>
          <w:sz w:val="17"/>
          <w:szCs w:val="17"/>
          <w:color w:val="auto"/>
        </w:rPr>
        <w:t>compliance, environmental liability, our past financial restructurings and other matters. We discuss legal proceedings in the “Commitments, Contingencies, and Uncertainties” footnote to our Consolidated Financial Statements included elsewhere in this Annual Report on Form 10-K as well as in “Environmental Matters” in Part I hereof. Some or all of our expenditures to defend, settle or litigate these matters may not be covered by insurance or could impact our cost and ability to obtain insurance in the future. Litigation can be expensive, lengthy and disruptive to normal business operations, including to our management due to the increased time and resources required to respond to and address the litigation. The results of complex legal proceedings are often uncertain and difficult to predict. An unfavorable outcome of any particular matter or any future legal proceedings could have a material adverse effect on our business, financial condition, results of operations and cash flows. In the future, we could incur judgments or enter into settlements of claims that could harm our financial condition, results of operations and cash flows.</w:t>
      </w:r>
    </w:p>
    <w:p>
      <w:pPr>
        <w:spacing w:after="0" w:line="151"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We operate in an industry subject to extensive government regulations, and costs of compliance with, or liability for violation of, existing or future regulations could significantly increase our costs of doing business.</w:t>
      </w:r>
    </w:p>
    <w:p>
      <w:pPr>
        <w:spacing w:after="0" w:line="12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U.S. Departments of Transportation and Homeland Security and various federal, state, local and foreign agencies exercise broad powers over our business, generally governing such activities as authorization to engage in motor carrier operations, safety and permits to conduct transportation business. Our drivers are also subject to hours-of-service rules of the FMCSA. In the future, we may become subject to new or more restrictive regulations that the FMCSA, Departments of Transportation and Homeland Security, the Occupational Safety and Health Administration, the EPA, the SEC, or other authorities impose, including regulations relating to engine exhaust emissions, greenhouse gas emissions, environmental or other disclosures, the hours of service that our drivers may provide in any one-time period, security and other matters. Compliance with these regulations could substantially impair productivity and increase our costs.</w:t>
      </w:r>
    </w:p>
    <w:p>
      <w:pPr>
        <w:spacing w:after="0" w:line="1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FMCSA’s CSA program is a motor carrier data-driven oversight program under which drivers and fleets are evaluated based on certain safety-related standards. Carriers’ safety and fitness ratings under CSA include the on-road safety performance of the carriers’ drivers. At any given time, there are also other proposals for safety-related standards that are pending legislative or administrative approval or adoption. If additional or more stringent standards are adopted, such may result in a reduction of the pool of qualified drivers available for employment by us. If we experience safety and fitness violations, our safety and fitness scores could be adversely impacted and our fleet could be ranked poorly as compared to our peers. A reduction in our safety and fitness scores or those of our drivers could also reduce our competitiveness in relation to other companies that have higher scores. Additionally, competition for qualified drivers with favorable safety ratings may increase and thus result in increases in driver-related recruiting and compensation costs.</w:t>
      </w:r>
    </w:p>
    <w:p>
      <w:pPr>
        <w:spacing w:after="0" w:line="13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Like many motor carriers, we compensate our drivers based primarily on mileage rate and activity-based formulas. The state of California adopted legislation that sets forth requirements for the payment of a separate hourly wage for “nonproductive” time worked by 13 piece-rate employees, and separate payment for compensable rest and recovery periods to those employees. Specifically, that legislation, effective since January 1, 2016, codified three basic statutory requirements for the payment of employees on a piece-rate basis: (i) employees must be separately compensated at their regular rate for the time during which they take rest and recovery breaks; (ii) employees must be separately compensated for “other nonproductive time,” which is defined as “time under the employer’s control, exclusive of rest and recovery periods, that is not directly related to the activity being compensated on a piece-rate basis;” and (iii) this “other nonproduction time” time must be compensated at an hourly rate no less than the applicable minimum wage. The application of this legislation to the Company and its operations has increased our operating costs, including labor costs and legal exposure.</w:t>
      </w:r>
    </w:p>
    <w:p>
      <w:pPr>
        <w:spacing w:after="0" w:line="119"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We may experience disruptions of our computer and information technology systems, privacy breaches and sophisticated cyber-attacks, which could adversely affect our business and increase our data and system security costs.</w:t>
      </w:r>
    </w:p>
    <w:p>
      <w:pPr>
        <w:spacing w:after="0" w:line="12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rely on information technology networks and systems, including the Internet, to process, transmit and store electronic information, and to manage or support a variety of business processes and activities. In addition, the provision of service to our customers and the operation of our networks and systems involve the storage and transmission of proprietary information and sensitive or confidential data, including personal information of customers, employees and others. These systems, some of which are managed by third-parties, may be susceptible to damage, disruptions or shutdowns due to failures during the process of upgrading or replacing software, databases, power outages, hardware failures, computer viruses, cyber-attacks (including denial of service, ransom or other attacks), malicious insiders, telecommunication failures, user errors or catastrophic events.</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seek to maintain a robust program of information security and controls. However, information technology security threats are increasing in both frequency and sophistication. As a result, we may be unable to anticipate these threats or to implement adequate preventative measures. Additionally, with a portion of our employees working from home during the COVID-19 pandemic, there may be increased opportunities for unauthorized access and cyber-attacks.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3" w:name="page14"/>
    <w:bookmarkEnd w:id="13"/>
    <w:p>
      <w:pPr>
        <w:jc w:val="both"/>
        <w:spacing w:after="0" w:line="291" w:lineRule="auto"/>
        <w:rPr>
          <w:sz w:val="20"/>
          <w:szCs w:val="20"/>
          <w:color w:val="auto"/>
        </w:rPr>
      </w:pPr>
      <w:r>
        <w:rPr>
          <w:rFonts w:ascii="Arial" w:cs="Arial" w:eastAsia="Arial" w:hAnsi="Arial"/>
          <w:sz w:val="16"/>
          <w:szCs w:val="16"/>
          <w:color w:val="auto"/>
        </w:rPr>
        <w:t>Security breaches and information technology disruptions could create financial liability, disrupt our operations, damage our reputation with customers, suppliers and other stakeholders, result in loss or misuse of proprietary or competitively sensitive information, compromise personally identifiable information, delay our ability to deliver services to customers, and jeopardize the security of our facilities. Breaches and disruptions could also result in a violation of U.S. and international privacy and other laws and subject us to litigation and other legal and regulatory proceedings or sanctions. Any of these occurrences could result in the loss of existing or potential customers and have a material adverse effect on our competitive position, results of operations, financial condition and cash flows. In addition, the cost and operational consequences of implementing further data or system protection measures could be significant and our efforts to deter, identify, mitigate and/or eliminate any security breaches may not be successful.</w:t>
      </w:r>
    </w:p>
    <w:p>
      <w:pPr>
        <w:spacing w:after="0" w:line="349"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color w:val="auto"/>
        </w:rPr>
        <w:t>The continuing impact of the COVID-19 pandemic or any other widespread outbreak of an illness, communicable disease, or public health crisis, as well as regulatory measures implemented in response to such events, could adversely affect our business, financial condition, results of operations and cash flows.</w:t>
      </w:r>
    </w:p>
    <w:p>
      <w:pPr>
        <w:spacing w:after="0" w:line="18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To the extent COVID-19 restrictions remain or are renewed, or if other public health events occur, governments and authorities could impose restrictions such as travel bans and limits, quarantines, shelter-in-place orders, increased border and port controls, and closures and shutdowns, which have previously resulted in global business disruptions. In 2021, the United States President issued an executive order requiring COVID-19 vaccinations of employees of federal contractors and subcontractors. As a result of legal challenges, the order is not currently being enforced. If the order or any such other standard or mandate becomes effective or enforceable and applicable to us, we could be required to mandate COVID-19 or other vaccines for our covered employees and/or implement a costly testing program. Any such requirements could adversely impact on our ability to attract and retain drivers or other employees, serve our customers, or continue certain aspects of our business. Any public health crisis may lead to other events which could negatively impact our operations, including limited availability of drivers and other key employees, reductions in operating efficiencies or supplies, increased security risks due to employees working remotely, industry-wide excess capacity or rate reductions, an increase in our pension funding obligations due to market volatility, the credit-worthiness of our customers</w:t>
      </w:r>
      <w:r>
        <w:rPr>
          <w:rFonts w:ascii="Arial" w:cs="Arial" w:eastAsia="Arial" w:hAnsi="Arial"/>
          <w:sz w:val="17"/>
          <w:szCs w:val="17"/>
          <w:i w:val="1"/>
          <w:iCs w:val="1"/>
          <w:color w:val="auto"/>
        </w:rPr>
        <w:t>,</w:t>
      </w:r>
      <w:r>
        <w:rPr>
          <w:rFonts w:ascii="Arial" w:cs="Arial" w:eastAsia="Arial" w:hAnsi="Arial"/>
          <w:sz w:val="17"/>
          <w:szCs w:val="17"/>
          <w:color w:val="auto"/>
        </w:rPr>
        <w:t xml:space="preserve"> or volatile financial credit markets. Any of the foregoing could have a material adverse impact on our business, financial conditions, or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risks associated with doing business in foreign countries.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conduct a portion of our operations in Canada and, to a lesser extent, Mexico. As a participating carrier in the Customs and Trade Partnership Against Terrorism (“C-TPAT”) program, we and our contractors are able to cross into these countries more efficiently, thereby avoiding substantial delays. If we should lose the ability to participate in the C-TPAT program, we could experience significant border delays which could have a negative impact on our ability to remain competitive and operate efficiently in those countries.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we are subject to certain risks inherent in doing business in foreign countries, including, but not limited to, compliance with the requirements of applicable anti-bribery laws (including the U.S. Foreign Corrupt Practices Act), political instability, controls on the repatriation of cash, currency fluctuations and the imposition of tariffs, import and export controls and other non-tariff barriers.</w:t>
      </w:r>
    </w:p>
    <w:p>
      <w:pPr>
        <w:spacing w:after="0" w:line="1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and Liquidity Risks</w:t>
      </w:r>
    </w:p>
    <w:p>
      <w:pPr>
        <w:spacing w:after="0" w:line="179" w:lineRule="exact"/>
        <w:rPr>
          <w:sz w:val="20"/>
          <w:szCs w:val="20"/>
          <w:color w:val="auto"/>
        </w:rPr>
      </w:pPr>
    </w:p>
    <w:p>
      <w:pPr>
        <w:jc w:val="both"/>
        <w:ind w:right="20"/>
        <w:spacing w:after="0" w:line="281" w:lineRule="auto"/>
        <w:rPr>
          <w:sz w:val="20"/>
          <w:szCs w:val="20"/>
          <w:color w:val="auto"/>
        </w:rPr>
      </w:pPr>
      <w:r>
        <w:rPr>
          <w:rFonts w:ascii="Arial" w:cs="Arial" w:eastAsia="Arial" w:hAnsi="Arial"/>
          <w:sz w:val="18"/>
          <w:szCs w:val="18"/>
          <w:b w:val="1"/>
          <w:bCs w:val="1"/>
          <w:color w:val="auto"/>
        </w:rPr>
        <w:t>Our failure to comply with the covenants in the documents governing our existing and future indebtedness could materially adversely affect our financial condition and liquidity.</w:t>
      </w:r>
    </w:p>
    <w:p>
      <w:pPr>
        <w:spacing w:after="0" w:line="14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documents governing our indebtedness contain financial covenants, affirmative covenants requiring us to take certain actions and negative covenants restricting our ability to take certain actions. The UST Credit Agreements and Term Loan Agreement require a minimum trailing-twelve-month ("TTM") Adjusted EBITDA measured quarterly. Management expects, based on actual and forecasted operating results, that the Company will meet this covenant requirement for the period it became effective and the next twelve months. The UST Credit Agreements also require us and our affiliates to comply with certain requirements in connection with the Coronavirus Aid, Relief, and Economic Security Act (the “CARES Act”), including (i) limitations on executive compensation and (ii) until 12 months following the repayments of the UST Credit Agreements, we may not pay any dividends or make any other capital distributions with respect to our common stock.</w:t>
      </w:r>
    </w:p>
    <w:p>
      <w:pPr>
        <w:spacing w:after="0" w:line="14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ability to satisfy these indebtedness covenants could be impacted by significant adverse conditions beyond our control, changes in global trade policies or increased contraction in the general economy. If we are unable to achieve the results required to comply with the applicable financial covenants, we may be required to take specific actions to reduce operating costs, as well as specific initiatives in the areas of pricing and customer engagement, and other operational actions to improve productivity and efficiency, as well as increased volume. If we are unable to satisfy our financial covenants or obtain a waiver or an amendment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4" w:name="page15"/>
    <w:bookmarkEnd w:id="14"/>
    <w:p>
      <w:pPr>
        <w:jc w:val="both"/>
        <w:spacing w:after="0" w:line="253" w:lineRule="auto"/>
        <w:rPr>
          <w:sz w:val="20"/>
          <w:szCs w:val="20"/>
          <w:color w:val="auto"/>
        </w:rPr>
      </w:pPr>
      <w:r>
        <w:rPr>
          <w:rFonts w:ascii="Arial" w:cs="Arial" w:eastAsia="Arial" w:hAnsi="Arial"/>
          <w:sz w:val="18"/>
          <w:szCs w:val="18"/>
          <w:color w:val="auto"/>
        </w:rPr>
        <w:t>from our lenders, or take other remedial measures, we will be in default under our credit facilities, which would enable lenders thereunder to accelerate the repayment of amounts outstanding and exercise remedies with respect to the collateral. If our lenders under our credit facilities demand payment, we will not have sufficient cash to repay such indebtedness. In addition, a default under our credit facilities or the lenders exercising their remedies thereunder could trigger cross-default provisions in our other indebtedness and certain other operating agreements as well as increase our funding obligations under our pension plans. Our ability to amend our credit facilities or otherwise obtain waivers from our lenders depends on matters that are outside of our control and there can be no assurance that we will be successful in that regard. In addition, any covenant breach or event of default could harm our credit rating and our ability to obtain financing on acceptable terms. The occurrence of any of these events could have a material adverse effect on our financial condition and liquidity.</w:t>
      </w:r>
    </w:p>
    <w:p>
      <w:pPr>
        <w:spacing w:after="0" w:line="165" w:lineRule="exact"/>
        <w:rPr>
          <w:sz w:val="20"/>
          <w:szCs w:val="20"/>
          <w:color w:val="auto"/>
        </w:rPr>
      </w:pPr>
    </w:p>
    <w:p>
      <w:pPr>
        <w:jc w:val="both"/>
        <w:ind w:right="20"/>
        <w:spacing w:after="0" w:line="281" w:lineRule="auto"/>
        <w:rPr>
          <w:sz w:val="20"/>
          <w:szCs w:val="20"/>
          <w:color w:val="auto"/>
        </w:rPr>
      </w:pPr>
      <w:r>
        <w:rPr>
          <w:rFonts w:ascii="Arial" w:cs="Arial" w:eastAsia="Arial" w:hAnsi="Arial"/>
          <w:sz w:val="18"/>
          <w:szCs w:val="18"/>
          <w:b w:val="1"/>
          <w:bCs w:val="1"/>
          <w:color w:val="auto"/>
        </w:rPr>
        <w:t>Our indebtedness and cash interest payment obligations, lease obligations and pension funding obligations, as well as our liquidity position, could adversely affect our financial flexibility and our competitive position.</w:t>
      </w:r>
    </w:p>
    <w:p>
      <w:pPr>
        <w:spacing w:after="0" w:line="1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2022, we had various material debt, pension and lease obligations as described within the footnotes to the Consolidated Financial Statements. These obligations and liquidity limitations could:</w:t>
      </w:r>
    </w:p>
    <w:p>
      <w:pPr>
        <w:spacing w:after="0" w:line="129" w:lineRule="exact"/>
        <w:rPr>
          <w:sz w:val="20"/>
          <w:szCs w:val="20"/>
          <w:color w:val="auto"/>
        </w:rPr>
      </w:pPr>
    </w:p>
    <w:p>
      <w:pPr>
        <w:ind w:left="76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 our vulnerability to adverse changes or persistent slow growth in general economic, industry and competitive conditions;</w:t>
      </w:r>
    </w:p>
    <w:p>
      <w:pPr>
        <w:spacing w:after="0" w:line="23" w:lineRule="exact"/>
        <w:rPr>
          <w:rFonts w:ascii="Arial" w:cs="Arial" w:eastAsia="Arial" w:hAnsi="Arial"/>
          <w:sz w:val="18"/>
          <w:szCs w:val="18"/>
          <w:color w:val="auto"/>
        </w:rPr>
      </w:pPr>
    </w:p>
    <w:p>
      <w:pPr>
        <w:jc w:val="both"/>
        <w:ind w:left="760" w:hanging="378"/>
        <w:spacing w:after="0" w:line="250"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require us to dedicate a portion of our cash flow from operations to make principal and interest payments on our indebtedness, leases and pension funding obligations, thereby reducing the availability of our cash flow to fund working capital, capital expenditures and other general corporate purposes;</w:t>
      </w:r>
    </w:p>
    <w:p>
      <w:pPr>
        <w:ind w:left="76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industry in which we operate;</w:t>
      </w:r>
    </w:p>
    <w:p>
      <w:pPr>
        <w:spacing w:after="0" w:line="8" w:lineRule="exact"/>
        <w:rPr>
          <w:rFonts w:ascii="Arial" w:cs="Arial" w:eastAsia="Arial" w:hAnsi="Arial"/>
          <w:sz w:val="18"/>
          <w:szCs w:val="18"/>
          <w:color w:val="auto"/>
        </w:rPr>
      </w:pPr>
    </w:p>
    <w:p>
      <w:pPr>
        <w:ind w:left="76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restrict us from taking advantage of business opportunities;</w:t>
      </w:r>
    </w:p>
    <w:p>
      <w:pPr>
        <w:spacing w:after="0" w:line="8" w:lineRule="exact"/>
        <w:rPr>
          <w:rFonts w:ascii="Arial" w:cs="Arial" w:eastAsia="Arial" w:hAnsi="Arial"/>
          <w:sz w:val="18"/>
          <w:szCs w:val="18"/>
          <w:color w:val="auto"/>
        </w:rPr>
      </w:pPr>
    </w:p>
    <w:p>
      <w:pPr>
        <w:ind w:left="76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make it more difficult to satisfy our financial obligations and meet future stepped up financial covenants in our credit facilities;</w:t>
      </w:r>
    </w:p>
    <w:p>
      <w:pPr>
        <w:spacing w:after="0" w:line="8" w:lineRule="exact"/>
        <w:rPr>
          <w:rFonts w:ascii="Arial" w:cs="Arial" w:eastAsia="Arial" w:hAnsi="Arial"/>
          <w:sz w:val="18"/>
          <w:szCs w:val="18"/>
          <w:color w:val="auto"/>
        </w:rPr>
      </w:pPr>
    </w:p>
    <w:p>
      <w:pPr>
        <w:ind w:left="760" w:hanging="378"/>
        <w:spacing w:after="0"/>
        <w:tabs>
          <w:tab w:leader="none" w:pos="760" w:val="left"/>
        </w:tabs>
        <w:numPr>
          <w:ilvl w:val="0"/>
          <w:numId w:val="6"/>
        </w:numPr>
        <w:rPr>
          <w:rFonts w:ascii="Arial" w:cs="Arial" w:eastAsia="Arial" w:hAnsi="Arial"/>
          <w:sz w:val="16"/>
          <w:szCs w:val="16"/>
          <w:color w:val="auto"/>
        </w:rPr>
      </w:pPr>
      <w:r>
        <w:rPr>
          <w:rFonts w:ascii="Arial" w:cs="Arial" w:eastAsia="Arial" w:hAnsi="Arial"/>
          <w:sz w:val="16"/>
          <w:szCs w:val="16"/>
          <w:color w:val="auto"/>
        </w:rPr>
        <w:t>place us at a competitive disadvantage compared to our competitors that have less debt, lease obligations, and pension funding obligations; and</w:t>
      </w:r>
    </w:p>
    <w:p>
      <w:pPr>
        <w:spacing w:after="0" w:line="31" w:lineRule="exact"/>
        <w:rPr>
          <w:rFonts w:ascii="Arial" w:cs="Arial" w:eastAsia="Arial" w:hAnsi="Arial"/>
          <w:sz w:val="16"/>
          <w:szCs w:val="16"/>
          <w:color w:val="auto"/>
        </w:rPr>
      </w:pPr>
    </w:p>
    <w:p>
      <w:pPr>
        <w:ind w:left="760" w:hanging="378"/>
        <w:spacing w:after="0" w:line="260"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limit our ability to borrow additional funds for working capital, capital expenditures, acquisitions, debt service requirements, execution of our business strategy or other general corporate purposes on satisfactory terms or at all.</w:t>
      </w:r>
    </w:p>
    <w:p>
      <w:pPr>
        <w:spacing w:after="0" w:line="153"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color w:val="auto"/>
        </w:rPr>
        <w:t>Our ability to service all of our indebtedness and satisfy all of our other obligations depends on many factors beyond our control, and if we cannot generate enough cash to service our indebtedness and satisfy such other obligations, we may be forced to take one or more actions, which may not be successful.</w:t>
      </w:r>
    </w:p>
    <w:p>
      <w:pPr>
        <w:spacing w:after="0" w:line="14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Cash flows from operations are a principal source of funding for us. Our business may not generate cash flow from operations in an amount sufficient to fund our liquidity needs. If our cash flows are insufficient to service our indebtedness and satisfy our other obligations, we may be forced to reduce or delay capital expenditures, sell assets, seek additional capital or restructure or refinance our indebtedness or other financial obligations. Our ability to restructure or refinance our indebtedness will depend on the condition of the capital and credit markets and our financial condition at such time. Any refinancing of our indebtedness could be at higher interest rates. In addition, any refinancing of our indebtedness or restructuring of our other obligations may require us to comply with more onerous covenants, which could further restrict our business operations and limit our financial flexibility. In addition, the terms of existing or future debt agreements may restrict us from adopting some of these alternatives. Any failure to make payments of interest and principal on our outstanding indebtedness or satisfy our other financial obligations on a timely basis would likely result in a lowering of our credit rating, which could harm our ability to incur additional indebtedness. These alternative measures may not be successful and, as a result, our liquidity and financial condition could be adversely affected and we may not be able to meet our scheduled debt service obligations. If for any reason we are unable to meet our debt service obligations, we would be in default under the terms of the agreements governing our outstanding debt.</w:t>
      </w:r>
    </w:p>
    <w:p>
      <w:pPr>
        <w:spacing w:after="0" w:line="124"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Restrictive covenants in the documents governing our existing and future indebtedness may limit our current and future operations, particularly our ability to respond to changes in our business or to pursue our business strategies.</w:t>
      </w:r>
    </w:p>
    <w:p>
      <w:pPr>
        <w:spacing w:after="0" w:line="14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documents governing our existing indebtedness contain, and the documents governing any future indebtedness will likely contain, a number of restrictive covenants that impose significant operating and financial restrictions, including restrictions on our ability to take actions that we believe may be in our interest. The documents governing our existing indebtedness, among other things, limit our ability to:</w:t>
      </w:r>
    </w:p>
    <w:p>
      <w:pPr>
        <w:spacing w:after="0" w:line="142" w:lineRule="exact"/>
        <w:rPr>
          <w:sz w:val="20"/>
          <w:szCs w:val="20"/>
          <w:color w:val="auto"/>
        </w:rPr>
      </w:pPr>
    </w:p>
    <w:p>
      <w:pPr>
        <w:ind w:left="760" w:hanging="378"/>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incur or guarantee additional indebtedness;</w:t>
      </w:r>
    </w:p>
    <w:p>
      <w:pPr>
        <w:spacing w:after="0" w:line="23" w:lineRule="exact"/>
        <w:rPr>
          <w:rFonts w:ascii="Arial" w:cs="Arial" w:eastAsia="Arial" w:hAnsi="Arial"/>
          <w:sz w:val="18"/>
          <w:szCs w:val="18"/>
          <w:color w:val="auto"/>
        </w:rPr>
      </w:pPr>
    </w:p>
    <w:p>
      <w:pPr>
        <w:ind w:left="760" w:hanging="378"/>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make certain restricted payments or investments;</w:t>
      </w:r>
    </w:p>
    <w:p>
      <w:pPr>
        <w:spacing w:after="0" w:line="8" w:lineRule="exact"/>
        <w:rPr>
          <w:rFonts w:ascii="Arial" w:cs="Arial" w:eastAsia="Arial" w:hAnsi="Arial"/>
          <w:sz w:val="18"/>
          <w:szCs w:val="18"/>
          <w:color w:val="auto"/>
        </w:rPr>
      </w:pPr>
    </w:p>
    <w:p>
      <w:pPr>
        <w:ind w:left="760" w:hanging="378"/>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enter into agreements that restrict distributions from restricted subsidiaries;</w:t>
      </w:r>
    </w:p>
    <w:p>
      <w:pPr>
        <w:spacing w:after="0" w:line="8" w:lineRule="exact"/>
        <w:rPr>
          <w:rFonts w:ascii="Arial" w:cs="Arial" w:eastAsia="Arial" w:hAnsi="Arial"/>
          <w:sz w:val="18"/>
          <w:szCs w:val="18"/>
          <w:color w:val="auto"/>
        </w:rPr>
      </w:pPr>
    </w:p>
    <w:p>
      <w:pPr>
        <w:ind w:left="760" w:hanging="378"/>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sell or otherwise dispose of assets, including capital stock of restricted subsidiaries;</w:t>
      </w:r>
    </w:p>
    <w:p>
      <w:pPr>
        <w:spacing w:after="0" w:line="8" w:lineRule="exact"/>
        <w:rPr>
          <w:rFonts w:ascii="Arial" w:cs="Arial" w:eastAsia="Arial" w:hAnsi="Arial"/>
          <w:sz w:val="18"/>
          <w:szCs w:val="18"/>
          <w:color w:val="auto"/>
        </w:rPr>
      </w:pPr>
    </w:p>
    <w:p>
      <w:pPr>
        <w:ind w:left="760" w:hanging="378"/>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8" w:lineRule="exact"/>
        <w:rPr>
          <w:rFonts w:ascii="Arial" w:cs="Arial" w:eastAsia="Arial" w:hAnsi="Arial"/>
          <w:sz w:val="18"/>
          <w:szCs w:val="18"/>
          <w:color w:val="auto"/>
        </w:rPr>
      </w:pPr>
    </w:p>
    <w:p>
      <w:pPr>
        <w:ind w:left="760" w:hanging="378"/>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create or incur liens;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5" w:name="page16"/>
    <w:bookmarkEnd w:id="15"/>
    <w:p>
      <w:pPr>
        <w:ind w:left="760" w:hanging="378"/>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enter into sale/leaseback transactions;</w:t>
      </w:r>
    </w:p>
    <w:p>
      <w:pPr>
        <w:spacing w:after="0" w:line="23" w:lineRule="exact"/>
        <w:rPr>
          <w:rFonts w:ascii="Arial" w:cs="Arial" w:eastAsia="Arial" w:hAnsi="Arial"/>
          <w:sz w:val="18"/>
          <w:szCs w:val="18"/>
          <w:color w:val="auto"/>
        </w:rPr>
      </w:pPr>
    </w:p>
    <w:p>
      <w:pPr>
        <w:ind w:left="760" w:hanging="378"/>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compensate certain executives;</w:t>
      </w:r>
    </w:p>
    <w:p>
      <w:pPr>
        <w:spacing w:after="0" w:line="8" w:lineRule="exact"/>
        <w:rPr>
          <w:rFonts w:ascii="Arial" w:cs="Arial" w:eastAsia="Arial" w:hAnsi="Arial"/>
          <w:sz w:val="18"/>
          <w:szCs w:val="18"/>
          <w:color w:val="auto"/>
        </w:rPr>
      </w:pPr>
    </w:p>
    <w:p>
      <w:pPr>
        <w:ind w:left="760" w:hanging="378"/>
        <w:spacing w:after="0" w:line="250"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pay dividends or make any other capital distributions with respect to our Common Stock, as discussed under Risks Related to Our Common Stock;</w:t>
      </w:r>
    </w:p>
    <w:p>
      <w:pPr>
        <w:ind w:left="760" w:hanging="378"/>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purchase shares of our Common Stock in the public market;</w:t>
      </w:r>
    </w:p>
    <w:p>
      <w:pPr>
        <w:spacing w:after="0" w:line="8" w:lineRule="exact"/>
        <w:rPr>
          <w:rFonts w:ascii="Arial" w:cs="Arial" w:eastAsia="Arial" w:hAnsi="Arial"/>
          <w:sz w:val="18"/>
          <w:szCs w:val="18"/>
          <w:color w:val="auto"/>
        </w:rPr>
      </w:pPr>
    </w:p>
    <w:p>
      <w:pPr>
        <w:ind w:left="760" w:hanging="378"/>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merge, consolidate or sell substantially all of our assets; and</w:t>
      </w:r>
    </w:p>
    <w:p>
      <w:pPr>
        <w:spacing w:after="0" w:line="8" w:lineRule="exact"/>
        <w:rPr>
          <w:rFonts w:ascii="Arial" w:cs="Arial" w:eastAsia="Arial" w:hAnsi="Arial"/>
          <w:sz w:val="18"/>
          <w:szCs w:val="18"/>
          <w:color w:val="auto"/>
        </w:rPr>
      </w:pPr>
    </w:p>
    <w:p>
      <w:pPr>
        <w:ind w:left="760" w:hanging="378"/>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make certain investments and acquire certain assets.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restrictions could adversely affect our ability to:</w:t>
      </w:r>
    </w:p>
    <w:p>
      <w:pPr>
        <w:spacing w:after="0" w:line="198" w:lineRule="exact"/>
        <w:rPr>
          <w:sz w:val="20"/>
          <w:szCs w:val="20"/>
          <w:color w:val="auto"/>
        </w:rPr>
      </w:pPr>
    </w:p>
    <w:p>
      <w:pPr>
        <w:ind w:left="760" w:hanging="378"/>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finance our operations;</w:t>
      </w:r>
    </w:p>
    <w:p>
      <w:pPr>
        <w:spacing w:after="0" w:line="23" w:lineRule="exact"/>
        <w:rPr>
          <w:rFonts w:ascii="Arial" w:cs="Arial" w:eastAsia="Arial" w:hAnsi="Arial"/>
          <w:sz w:val="18"/>
          <w:szCs w:val="18"/>
          <w:color w:val="auto"/>
        </w:rPr>
      </w:pPr>
    </w:p>
    <w:p>
      <w:pPr>
        <w:ind w:left="760" w:hanging="378"/>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make strategic acquisitions or investments or enter into alliances;</w:t>
      </w:r>
    </w:p>
    <w:p>
      <w:pPr>
        <w:spacing w:after="0" w:line="8" w:lineRule="exact"/>
        <w:rPr>
          <w:rFonts w:ascii="Arial" w:cs="Arial" w:eastAsia="Arial" w:hAnsi="Arial"/>
          <w:sz w:val="18"/>
          <w:szCs w:val="18"/>
          <w:color w:val="auto"/>
        </w:rPr>
      </w:pPr>
    </w:p>
    <w:p>
      <w:pPr>
        <w:ind w:left="760" w:hanging="378"/>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withstand a future downturn in our business or the economy in general;</w:t>
      </w:r>
    </w:p>
    <w:p>
      <w:pPr>
        <w:spacing w:after="0" w:line="8" w:lineRule="exact"/>
        <w:rPr>
          <w:rFonts w:ascii="Arial" w:cs="Arial" w:eastAsia="Arial" w:hAnsi="Arial"/>
          <w:sz w:val="18"/>
          <w:szCs w:val="18"/>
          <w:color w:val="auto"/>
        </w:rPr>
      </w:pPr>
    </w:p>
    <w:p>
      <w:pPr>
        <w:ind w:left="760" w:hanging="378"/>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attract and retain skilled key employees;</w:t>
      </w:r>
    </w:p>
    <w:p>
      <w:pPr>
        <w:spacing w:after="0" w:line="8" w:lineRule="exact"/>
        <w:rPr>
          <w:rFonts w:ascii="Arial" w:cs="Arial" w:eastAsia="Arial" w:hAnsi="Arial"/>
          <w:sz w:val="18"/>
          <w:szCs w:val="18"/>
          <w:color w:val="auto"/>
        </w:rPr>
      </w:pPr>
    </w:p>
    <w:p>
      <w:pPr>
        <w:ind w:left="760" w:hanging="378"/>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engage in business activities, including future opportunities, that may be in our interest; and</w:t>
      </w:r>
    </w:p>
    <w:p>
      <w:pPr>
        <w:spacing w:after="0" w:line="8" w:lineRule="exact"/>
        <w:rPr>
          <w:rFonts w:ascii="Arial" w:cs="Arial" w:eastAsia="Arial" w:hAnsi="Arial"/>
          <w:sz w:val="18"/>
          <w:szCs w:val="18"/>
          <w:color w:val="auto"/>
        </w:rPr>
      </w:pPr>
    </w:p>
    <w:p>
      <w:pPr>
        <w:ind w:left="760" w:hanging="378"/>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plan for or react to market conditions or otherwise execute our business strategies.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ability to obtain future financing or to sell assets could be adversely affected because substantially all of our assets have been pledged as collateral for the benefit of the holders of our indebtedness.</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Common Stock</w:t>
      </w:r>
    </w:p>
    <w:p>
      <w:pPr>
        <w:spacing w:after="0" w:line="193" w:lineRule="exact"/>
        <w:rPr>
          <w:sz w:val="20"/>
          <w:szCs w:val="20"/>
          <w:color w:val="auto"/>
        </w:rPr>
      </w:pPr>
    </w:p>
    <w:p>
      <w:pPr>
        <w:spacing w:after="0" w:line="281" w:lineRule="auto"/>
        <w:rPr>
          <w:sz w:val="20"/>
          <w:szCs w:val="20"/>
          <w:color w:val="auto"/>
        </w:rPr>
      </w:pPr>
      <w:r>
        <w:rPr>
          <w:rFonts w:ascii="Arial" w:cs="Arial" w:eastAsia="Arial" w:hAnsi="Arial"/>
          <w:sz w:val="18"/>
          <w:szCs w:val="18"/>
          <w:b w:val="1"/>
          <w:bCs w:val="1"/>
          <w:color w:val="auto"/>
        </w:rPr>
        <w:t>The price of our Common Stock may fluctuate significantly, and this may make it difficult to resell our Common Stock when holders want or at prices they find attractive.</w:t>
      </w:r>
    </w:p>
    <w:p>
      <w:pPr>
        <w:spacing w:after="0" w:line="12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market price for our Common Stock has been highly volatile and subject to significant fluctuations. We expect the market price of our Common Stock to continue to be volatile and subject to these fluctuations in response to a wide variety of factors, including the following:</w:t>
      </w:r>
    </w:p>
    <w:p>
      <w:pPr>
        <w:spacing w:after="0" w:line="129" w:lineRule="exact"/>
        <w:rPr>
          <w:sz w:val="20"/>
          <w:szCs w:val="20"/>
          <w:color w:val="auto"/>
        </w:rPr>
      </w:pPr>
    </w:p>
    <w:p>
      <w:pPr>
        <w:ind w:left="760" w:hanging="378"/>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fluctuations in stock market prices and trading volumes of securities of similar companies;</w:t>
      </w:r>
    </w:p>
    <w:p>
      <w:pPr>
        <w:spacing w:after="0" w:line="23" w:lineRule="exact"/>
        <w:rPr>
          <w:rFonts w:ascii="Arial" w:cs="Arial" w:eastAsia="Arial" w:hAnsi="Arial"/>
          <w:sz w:val="18"/>
          <w:szCs w:val="18"/>
          <w:color w:val="auto"/>
        </w:rPr>
      </w:pPr>
    </w:p>
    <w:p>
      <w:pPr>
        <w:ind w:left="760" w:hanging="378"/>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labor disputes;</w:t>
      </w:r>
    </w:p>
    <w:p>
      <w:pPr>
        <w:spacing w:after="0" w:line="8" w:lineRule="exact"/>
        <w:rPr>
          <w:rFonts w:ascii="Arial" w:cs="Arial" w:eastAsia="Arial" w:hAnsi="Arial"/>
          <w:sz w:val="18"/>
          <w:szCs w:val="18"/>
          <w:color w:val="auto"/>
        </w:rPr>
      </w:pPr>
    </w:p>
    <w:p>
      <w:pPr>
        <w:ind w:left="760" w:hanging="378"/>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general market conditions and overall fluctuations in U.S. equity markets;</w:t>
      </w:r>
    </w:p>
    <w:p>
      <w:pPr>
        <w:spacing w:after="0" w:line="8" w:lineRule="exact"/>
        <w:rPr>
          <w:rFonts w:ascii="Arial" w:cs="Arial" w:eastAsia="Arial" w:hAnsi="Arial"/>
          <w:sz w:val="18"/>
          <w:szCs w:val="18"/>
          <w:color w:val="auto"/>
        </w:rPr>
      </w:pPr>
    </w:p>
    <w:p>
      <w:pPr>
        <w:ind w:left="760" w:hanging="378"/>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large blocks of stockholders selling via automated trading systems;</w:t>
      </w:r>
    </w:p>
    <w:p>
      <w:pPr>
        <w:spacing w:after="0" w:line="8" w:lineRule="exact"/>
        <w:rPr>
          <w:rFonts w:ascii="Arial" w:cs="Arial" w:eastAsia="Arial" w:hAnsi="Arial"/>
          <w:sz w:val="18"/>
          <w:szCs w:val="18"/>
          <w:color w:val="auto"/>
        </w:rPr>
      </w:pPr>
    </w:p>
    <w:p>
      <w:pPr>
        <w:ind w:left="760" w:hanging="378"/>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variations in our operating results, or the operating results of our competitors;</w:t>
      </w:r>
    </w:p>
    <w:p>
      <w:pPr>
        <w:spacing w:after="0" w:line="8" w:lineRule="exact"/>
        <w:rPr>
          <w:rFonts w:ascii="Arial" w:cs="Arial" w:eastAsia="Arial" w:hAnsi="Arial"/>
          <w:sz w:val="18"/>
          <w:szCs w:val="18"/>
          <w:color w:val="auto"/>
        </w:rPr>
      </w:pPr>
    </w:p>
    <w:p>
      <w:pPr>
        <w:ind w:left="760" w:hanging="378"/>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our financial guidance, if any, or securities analysts’ estimates of our financial performance;</w:t>
      </w:r>
    </w:p>
    <w:p>
      <w:pPr>
        <w:spacing w:after="0" w:line="8" w:lineRule="exact"/>
        <w:rPr>
          <w:rFonts w:ascii="Arial" w:cs="Arial" w:eastAsia="Arial" w:hAnsi="Arial"/>
          <w:sz w:val="18"/>
          <w:szCs w:val="18"/>
          <w:color w:val="auto"/>
        </w:rPr>
      </w:pPr>
    </w:p>
    <w:p>
      <w:pPr>
        <w:ind w:left="760" w:hanging="378"/>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directors and significant stockholders;</w:t>
      </w:r>
    </w:p>
    <w:p>
      <w:pPr>
        <w:spacing w:after="0" w:line="8" w:lineRule="exact"/>
        <w:rPr>
          <w:rFonts w:ascii="Arial" w:cs="Arial" w:eastAsia="Arial" w:hAnsi="Arial"/>
          <w:sz w:val="18"/>
          <w:szCs w:val="18"/>
          <w:color w:val="auto"/>
        </w:rPr>
      </w:pPr>
    </w:p>
    <w:p>
      <w:pPr>
        <w:ind w:left="760" w:hanging="378"/>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additions or departures of any of our key personnel;</w:t>
      </w:r>
    </w:p>
    <w:p>
      <w:pPr>
        <w:spacing w:after="0" w:line="8" w:lineRule="exact"/>
        <w:rPr>
          <w:rFonts w:ascii="Arial" w:cs="Arial" w:eastAsia="Arial" w:hAnsi="Arial"/>
          <w:sz w:val="18"/>
          <w:szCs w:val="18"/>
          <w:color w:val="auto"/>
        </w:rPr>
      </w:pPr>
    </w:p>
    <w:p>
      <w:pPr>
        <w:ind w:left="760" w:hanging="378"/>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announcements related to litigation;</w:t>
      </w:r>
    </w:p>
    <w:p>
      <w:pPr>
        <w:spacing w:after="0" w:line="8" w:lineRule="exact"/>
        <w:rPr>
          <w:rFonts w:ascii="Arial" w:cs="Arial" w:eastAsia="Arial" w:hAnsi="Arial"/>
          <w:sz w:val="18"/>
          <w:szCs w:val="18"/>
          <w:color w:val="auto"/>
        </w:rPr>
      </w:pPr>
    </w:p>
    <w:p>
      <w:pPr>
        <w:ind w:left="760" w:hanging="378"/>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changing legal or regulatory developments in the United States and other countries; and</w:t>
      </w:r>
    </w:p>
    <w:p>
      <w:pPr>
        <w:spacing w:after="0" w:line="8" w:lineRule="exact"/>
        <w:rPr>
          <w:rFonts w:ascii="Arial" w:cs="Arial" w:eastAsia="Arial" w:hAnsi="Arial"/>
          <w:sz w:val="18"/>
          <w:szCs w:val="18"/>
          <w:color w:val="auto"/>
        </w:rPr>
      </w:pPr>
    </w:p>
    <w:p>
      <w:pPr>
        <w:ind w:left="760" w:hanging="378"/>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commentary about us or our stock price by the financial press and in online investor communities.</w:t>
      </w:r>
    </w:p>
    <w:p>
      <w:pPr>
        <w:spacing w:after="0" w:line="1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the stock markets from time to time experience price and volume fluctuations that may be unrelated or disproportionate to the operating performance of companies and that may be extreme. These fluctuations may adversely affect the trading price of our Common Stock, regardless of our actual operating performance.</w:t>
      </w:r>
    </w:p>
    <w:p>
      <w:pPr>
        <w:spacing w:after="0" w:line="138"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Future issuances of our Common Stock or equity-related securities in the public market could adversely affect the trading price of our Common Stock and our ability to raise funds in new stock offerings.</w:t>
      </w:r>
    </w:p>
    <w:p>
      <w:pPr>
        <w:spacing w:after="0" w:line="12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the future, we may issue additional shares of our Common Stock to raise capital or in connection with a restructuring or refinancing of our indebtedness. In addition, approximately 1.4 million shares of our Common Stock remain available and are reserved for issuance, exercise of outstanding stock options and vesting of outstanding share units. Under our 2019 Incentive and Equity Award Plan (the “2019 Plan”), we have registered under the Securities Act all of the shares of Common Stock that we may issue upon the exercise of our outstanding options and the vesting of outstanding share units and on account of future awards made under the 2019 Plan. Our 2020 Employee Stock Purchase Plan has approximately 2.6 million shares of Common Stock reserved for eligible employee participants. All of these registered shares generally can be freely sold in the public market upon issuance. If a large number of these shares are sold in the public market, the sales could reduce the trading price of our Common Stock.</w:t>
      </w:r>
    </w:p>
    <w:p>
      <w:pPr>
        <w:spacing w:after="0" w:line="1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cannot predict the size of future issuances or the effect, if any, that such issuances may have on the market price for our Common Stock. Sales of significant amounts of our Common Stock or equity-related securities in the public market, or the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6" w:name="page17"/>
    <w:bookmarkEnd w:id="16"/>
    <w:p>
      <w:pPr>
        <w:jc w:val="both"/>
        <w:spacing w:after="0" w:line="259" w:lineRule="auto"/>
        <w:rPr>
          <w:sz w:val="20"/>
          <w:szCs w:val="20"/>
          <w:color w:val="auto"/>
        </w:rPr>
      </w:pPr>
      <w:r>
        <w:rPr>
          <w:rFonts w:ascii="Arial" w:cs="Arial" w:eastAsia="Arial" w:hAnsi="Arial"/>
          <w:sz w:val="18"/>
          <w:szCs w:val="18"/>
          <w:color w:val="auto"/>
        </w:rPr>
        <w:t>perception that such sales may occur, could adversely affect prevailing trading prices of our Common Stock and could impair our ability to raise capital through future offerings of equity or equity-related securities. Further sales of shares of our Common Stock or the availability of shares of our Common Stock for future sale or in connection with hedging and arbitrage activity that may develop with respect to our Common Stock, could adversely affect the trading price of our Common Stock.</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not permitted to pay dividends on our Common Stock in the foreseeable future.</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not permitted to pay any dividends on shares of our Common Stock in the foreseeable future due to the documents governing our indebtedness. We intend to retain any future earnings to fund operations, invest in capital requirements, to service debt and other obligations, such as lease and pension funding requirements, and to use for other corporate needs. Further, we do not anticipate that we will pay any dividends on shares of our Common Stock in the foreseeable future.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can issue shares of preferred stock that may adversely affect the rights of holders of our Common Stock.</w:t>
      </w:r>
    </w:p>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certificate of incorporation currently authorizes the issuance of 7.5 million shares of preferred stock. Our Board of Directors is authorized to approve the issuance of one or more series of preferred stock without further authorization of our shareholders and to fix the number of shares, the designations, the relative rights and the limitations of any series of preferred stock. As a result, our Board, without shareholder approval, could authorize the issuance of preferred stock with voting, conversion and other rights that could proportionately reduce, minimize or otherwise adversely affect the voting power and other rights of holders of our Common Stock or other series of preferred stock or that could have the effect of delaying, deferring or preventing a change in our control.</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1B. Unresolved Staff Comments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auto"/>
        </w:rPr>
        <w:t>Item 2. Properties</w:t>
      </w:r>
    </w:p>
    <w:p>
      <w:pPr>
        <w:spacing w:after="0" w:line="19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At December 31, 2022, we operated a total of 308 transportation service facilities located across North America. Of this total, we own 166 and we lease 142, generally with lease terms ranging from one month to ten years with right of renewal options. The number of customer freight servicing doors totaled approximately 19,100, of which approximately 10,000 are at owned facilities and approximately 9,100 are at leased facilities. The transportation service centers vary in size ranging from one to three doors at small local facilities to 426 doors at the largest consolidation and distribution facility. We also occupy general office buildings in several locations and six fully managed warehouse facilities primarily through leasing agreements. Our owned transportation service facilities and office buildings serve as collateral under our credit agreements.</w:t>
      </w:r>
    </w:p>
    <w:p>
      <w:pPr>
        <w:spacing w:after="0" w:line="136" w:lineRule="exact"/>
        <w:rPr>
          <w:sz w:val="20"/>
          <w:szCs w:val="20"/>
          <w:color w:val="auto"/>
        </w:rPr>
      </w:pPr>
    </w:p>
    <w:p>
      <w:pPr>
        <w:jc w:val="both"/>
        <w:ind w:right="20"/>
        <w:spacing w:after="0" w:line="341" w:lineRule="auto"/>
        <w:rPr>
          <w:sz w:val="20"/>
          <w:szCs w:val="20"/>
          <w:color w:val="auto"/>
        </w:rPr>
      </w:pPr>
      <w:r>
        <w:rPr>
          <w:rFonts w:ascii="Arial" w:cs="Arial" w:eastAsia="Arial" w:hAnsi="Arial"/>
          <w:sz w:val="16"/>
          <w:szCs w:val="16"/>
          <w:color w:val="auto"/>
        </w:rPr>
        <w:t>We believe our facilities and equipment, subject to our expectations for capital spending, are adequate to meet current business requirements in 2022. Refer to “Item 7. Management’s Discussion and Analysis of Financial Condition and Results of Operations” for a more detailed discussion of capital spending.</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Top 10 Service Facilities by Number of Doors at December 31, 2022</w:t>
      </w:r>
    </w:p>
    <w:p>
      <w:pPr>
        <w:spacing w:after="0" w:line="234"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4160" w:type="dxa"/>
            <w:vAlign w:val="bottom"/>
            <w:tcBorders>
              <w:bottom w:val="single" w:sz="8" w:color="auto"/>
            </w:tcBorders>
          </w:tcPr>
          <w:p>
            <w:pPr>
              <w:ind w:left="1800"/>
              <w:spacing w:after="0"/>
              <w:rPr>
                <w:sz w:val="20"/>
                <w:szCs w:val="20"/>
                <w:color w:val="auto"/>
              </w:rPr>
            </w:pPr>
            <w:r>
              <w:rPr>
                <w:rFonts w:ascii="Arial" w:cs="Arial" w:eastAsia="Arial" w:hAnsi="Arial"/>
                <w:sz w:val="14"/>
                <w:szCs w:val="14"/>
                <w:b w:val="1"/>
                <w:bCs w:val="1"/>
                <w:color w:val="auto"/>
              </w:rPr>
              <w:t>Location</w:t>
            </w:r>
          </w:p>
        </w:tc>
        <w:tc>
          <w:tcPr>
            <w:tcW w:w="120" w:type="dxa"/>
            <w:vAlign w:val="bottom"/>
          </w:tcPr>
          <w:p>
            <w:pPr>
              <w:spacing w:after="0"/>
              <w:rPr>
                <w:sz w:val="16"/>
                <w:szCs w:val="16"/>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Doors</w:t>
            </w:r>
          </w:p>
        </w:tc>
        <w:tc>
          <w:tcPr>
            <w:tcW w:w="120" w:type="dxa"/>
            <w:vAlign w:val="bottom"/>
          </w:tcPr>
          <w:p>
            <w:pPr>
              <w:spacing w:after="0"/>
              <w:rPr>
                <w:sz w:val="16"/>
                <w:szCs w:val="16"/>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Owned/Leased</w:t>
            </w:r>
          </w:p>
        </w:tc>
      </w:tr>
      <w:tr>
        <w:trPr>
          <w:trHeight w:val="250"/>
        </w:trPr>
        <w:tc>
          <w:tcPr>
            <w:tcW w:w="4160" w:type="dxa"/>
            <w:vAlign w:val="bottom"/>
          </w:tcPr>
          <w:p>
            <w:pPr>
              <w:spacing w:after="0"/>
              <w:rPr>
                <w:sz w:val="20"/>
                <w:szCs w:val="20"/>
                <w:color w:val="auto"/>
              </w:rPr>
            </w:pPr>
            <w:r>
              <w:rPr>
                <w:rFonts w:ascii="Arial" w:cs="Arial" w:eastAsia="Arial" w:hAnsi="Arial"/>
                <w:sz w:val="18"/>
                <w:szCs w:val="18"/>
                <w:color w:val="auto"/>
              </w:rPr>
              <w:t>Chicago Heights, IL</w:t>
            </w:r>
          </w:p>
        </w:tc>
        <w:tc>
          <w:tcPr>
            <w:tcW w:w="2360" w:type="dxa"/>
            <w:vAlign w:val="bottom"/>
            <w:gridSpan w:val="2"/>
          </w:tcPr>
          <w:p>
            <w:pPr>
              <w:jc w:val="center"/>
              <w:ind w:left="30"/>
              <w:spacing w:after="0"/>
              <w:rPr>
                <w:sz w:val="20"/>
                <w:szCs w:val="20"/>
                <w:color w:val="auto"/>
              </w:rPr>
            </w:pPr>
            <w:r>
              <w:rPr>
                <w:rFonts w:ascii="Arial" w:cs="Arial" w:eastAsia="Arial" w:hAnsi="Arial"/>
                <w:sz w:val="18"/>
                <w:szCs w:val="18"/>
                <w:color w:val="auto"/>
                <w:w w:val="93"/>
              </w:rPr>
              <w:t>426</w:t>
            </w:r>
          </w:p>
        </w:tc>
        <w:tc>
          <w:tcPr>
            <w:tcW w:w="120" w:type="dxa"/>
            <w:vAlign w:val="bottom"/>
          </w:tcPr>
          <w:p>
            <w:pPr>
              <w:spacing w:after="0"/>
              <w:rPr>
                <w:sz w:val="21"/>
                <w:szCs w:val="21"/>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270"/>
        </w:trPr>
        <w:tc>
          <w:tcPr>
            <w:tcW w:w="4160" w:type="dxa"/>
            <w:vAlign w:val="bottom"/>
          </w:tcPr>
          <w:p>
            <w:pPr>
              <w:spacing w:after="0"/>
              <w:rPr>
                <w:sz w:val="20"/>
                <w:szCs w:val="20"/>
                <w:color w:val="auto"/>
              </w:rPr>
            </w:pPr>
            <w:r>
              <w:rPr>
                <w:rFonts w:ascii="Arial" w:cs="Arial" w:eastAsia="Arial" w:hAnsi="Arial"/>
                <w:sz w:val="18"/>
                <w:szCs w:val="18"/>
                <w:color w:val="auto"/>
              </w:rPr>
              <w:t>Winston-Salem, NC</w:t>
            </w:r>
          </w:p>
        </w:tc>
        <w:tc>
          <w:tcPr>
            <w:tcW w:w="2360" w:type="dxa"/>
            <w:vAlign w:val="bottom"/>
            <w:gridSpan w:val="2"/>
          </w:tcPr>
          <w:p>
            <w:pPr>
              <w:jc w:val="center"/>
              <w:ind w:left="30"/>
              <w:spacing w:after="0"/>
              <w:rPr>
                <w:sz w:val="20"/>
                <w:szCs w:val="20"/>
                <w:color w:val="auto"/>
              </w:rPr>
            </w:pPr>
            <w:r>
              <w:rPr>
                <w:rFonts w:ascii="Arial" w:cs="Arial" w:eastAsia="Arial" w:hAnsi="Arial"/>
                <w:sz w:val="18"/>
                <w:szCs w:val="18"/>
                <w:color w:val="auto"/>
                <w:w w:val="93"/>
              </w:rPr>
              <w:t>349</w:t>
            </w:r>
          </w:p>
        </w:tc>
        <w:tc>
          <w:tcPr>
            <w:tcW w:w="120" w:type="dxa"/>
            <w:vAlign w:val="bottom"/>
          </w:tcPr>
          <w:p>
            <w:pPr>
              <w:spacing w:after="0"/>
              <w:rPr>
                <w:sz w:val="23"/>
                <w:szCs w:val="23"/>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270"/>
        </w:trPr>
        <w:tc>
          <w:tcPr>
            <w:tcW w:w="4160" w:type="dxa"/>
            <w:vAlign w:val="bottom"/>
          </w:tcPr>
          <w:p>
            <w:pPr>
              <w:spacing w:after="0"/>
              <w:rPr>
                <w:sz w:val="20"/>
                <w:szCs w:val="20"/>
                <w:color w:val="auto"/>
              </w:rPr>
            </w:pPr>
            <w:r>
              <w:rPr>
                <w:rFonts w:ascii="Arial" w:cs="Arial" w:eastAsia="Arial" w:hAnsi="Arial"/>
                <w:sz w:val="18"/>
                <w:szCs w:val="18"/>
                <w:color w:val="auto"/>
              </w:rPr>
              <w:t>Bloomington, CA</w:t>
            </w:r>
          </w:p>
        </w:tc>
        <w:tc>
          <w:tcPr>
            <w:tcW w:w="2360" w:type="dxa"/>
            <w:vAlign w:val="bottom"/>
            <w:gridSpan w:val="2"/>
          </w:tcPr>
          <w:p>
            <w:pPr>
              <w:jc w:val="center"/>
              <w:ind w:left="30"/>
              <w:spacing w:after="0"/>
              <w:rPr>
                <w:sz w:val="20"/>
                <w:szCs w:val="20"/>
                <w:color w:val="auto"/>
              </w:rPr>
            </w:pPr>
            <w:r>
              <w:rPr>
                <w:rFonts w:ascii="Arial" w:cs="Arial" w:eastAsia="Arial" w:hAnsi="Arial"/>
                <w:sz w:val="18"/>
                <w:szCs w:val="18"/>
                <w:color w:val="auto"/>
                <w:w w:val="93"/>
              </w:rPr>
              <w:t>325</w:t>
            </w:r>
          </w:p>
        </w:tc>
        <w:tc>
          <w:tcPr>
            <w:tcW w:w="120" w:type="dxa"/>
            <w:vAlign w:val="bottom"/>
          </w:tcPr>
          <w:p>
            <w:pPr>
              <w:spacing w:after="0"/>
              <w:rPr>
                <w:sz w:val="23"/>
                <w:szCs w:val="23"/>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84"/>
              </w:rPr>
              <w:t>Leased</w:t>
            </w:r>
          </w:p>
        </w:tc>
      </w:tr>
      <w:tr>
        <w:trPr>
          <w:trHeight w:val="270"/>
        </w:trPr>
        <w:tc>
          <w:tcPr>
            <w:tcW w:w="4160" w:type="dxa"/>
            <w:vAlign w:val="bottom"/>
          </w:tcPr>
          <w:p>
            <w:pPr>
              <w:spacing w:after="0"/>
              <w:rPr>
                <w:sz w:val="20"/>
                <w:szCs w:val="20"/>
                <w:color w:val="auto"/>
              </w:rPr>
            </w:pPr>
            <w:r>
              <w:rPr>
                <w:rFonts w:ascii="Arial" w:cs="Arial" w:eastAsia="Arial" w:hAnsi="Arial"/>
                <w:sz w:val="18"/>
                <w:szCs w:val="18"/>
                <w:color w:val="auto"/>
              </w:rPr>
              <w:t>Maybrook, NY</w:t>
            </w:r>
          </w:p>
        </w:tc>
        <w:tc>
          <w:tcPr>
            <w:tcW w:w="2360" w:type="dxa"/>
            <w:vAlign w:val="bottom"/>
            <w:gridSpan w:val="2"/>
          </w:tcPr>
          <w:p>
            <w:pPr>
              <w:jc w:val="center"/>
              <w:ind w:left="30"/>
              <w:spacing w:after="0"/>
              <w:rPr>
                <w:sz w:val="20"/>
                <w:szCs w:val="20"/>
                <w:color w:val="auto"/>
              </w:rPr>
            </w:pPr>
            <w:r>
              <w:rPr>
                <w:rFonts w:ascii="Arial" w:cs="Arial" w:eastAsia="Arial" w:hAnsi="Arial"/>
                <w:sz w:val="18"/>
                <w:szCs w:val="18"/>
                <w:color w:val="auto"/>
                <w:w w:val="93"/>
              </w:rPr>
              <w:t>304</w:t>
            </w:r>
          </w:p>
        </w:tc>
        <w:tc>
          <w:tcPr>
            <w:tcW w:w="120" w:type="dxa"/>
            <w:vAlign w:val="bottom"/>
          </w:tcPr>
          <w:p>
            <w:pPr>
              <w:spacing w:after="0"/>
              <w:rPr>
                <w:sz w:val="23"/>
                <w:szCs w:val="23"/>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270"/>
        </w:trPr>
        <w:tc>
          <w:tcPr>
            <w:tcW w:w="4160" w:type="dxa"/>
            <w:vAlign w:val="bottom"/>
          </w:tcPr>
          <w:p>
            <w:pPr>
              <w:spacing w:after="0"/>
              <w:rPr>
                <w:sz w:val="20"/>
                <w:szCs w:val="20"/>
                <w:color w:val="auto"/>
              </w:rPr>
            </w:pPr>
            <w:r>
              <w:rPr>
                <w:rFonts w:ascii="Arial" w:cs="Arial" w:eastAsia="Arial" w:hAnsi="Arial"/>
                <w:sz w:val="18"/>
                <w:szCs w:val="18"/>
                <w:color w:val="auto"/>
              </w:rPr>
              <w:t>Harrisburg, PA</w:t>
            </w:r>
          </w:p>
        </w:tc>
        <w:tc>
          <w:tcPr>
            <w:tcW w:w="2360" w:type="dxa"/>
            <w:vAlign w:val="bottom"/>
            <w:gridSpan w:val="2"/>
          </w:tcPr>
          <w:p>
            <w:pPr>
              <w:jc w:val="center"/>
              <w:ind w:left="30"/>
              <w:spacing w:after="0"/>
              <w:rPr>
                <w:sz w:val="20"/>
                <w:szCs w:val="20"/>
                <w:color w:val="auto"/>
              </w:rPr>
            </w:pPr>
            <w:r>
              <w:rPr>
                <w:rFonts w:ascii="Arial" w:cs="Arial" w:eastAsia="Arial" w:hAnsi="Arial"/>
                <w:sz w:val="18"/>
                <w:szCs w:val="18"/>
                <w:color w:val="auto"/>
                <w:w w:val="93"/>
              </w:rPr>
              <w:t>281</w:t>
            </w:r>
          </w:p>
        </w:tc>
        <w:tc>
          <w:tcPr>
            <w:tcW w:w="120" w:type="dxa"/>
            <w:vAlign w:val="bottom"/>
          </w:tcPr>
          <w:p>
            <w:pPr>
              <w:spacing w:after="0"/>
              <w:rPr>
                <w:sz w:val="23"/>
                <w:szCs w:val="23"/>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270"/>
        </w:trPr>
        <w:tc>
          <w:tcPr>
            <w:tcW w:w="4160" w:type="dxa"/>
            <w:vAlign w:val="bottom"/>
          </w:tcPr>
          <w:p>
            <w:pPr>
              <w:spacing w:after="0"/>
              <w:rPr>
                <w:sz w:val="20"/>
                <w:szCs w:val="20"/>
                <w:color w:val="auto"/>
              </w:rPr>
            </w:pPr>
            <w:r>
              <w:rPr>
                <w:rFonts w:ascii="Arial" w:cs="Arial" w:eastAsia="Arial" w:hAnsi="Arial"/>
                <w:sz w:val="18"/>
                <w:szCs w:val="18"/>
                <w:color w:val="auto"/>
              </w:rPr>
              <w:t>Charlotte, NC</w:t>
            </w:r>
          </w:p>
        </w:tc>
        <w:tc>
          <w:tcPr>
            <w:tcW w:w="2360" w:type="dxa"/>
            <w:vAlign w:val="bottom"/>
            <w:gridSpan w:val="2"/>
          </w:tcPr>
          <w:p>
            <w:pPr>
              <w:jc w:val="center"/>
              <w:ind w:left="30"/>
              <w:spacing w:after="0"/>
              <w:rPr>
                <w:sz w:val="20"/>
                <w:szCs w:val="20"/>
                <w:color w:val="auto"/>
              </w:rPr>
            </w:pPr>
            <w:r>
              <w:rPr>
                <w:rFonts w:ascii="Arial" w:cs="Arial" w:eastAsia="Arial" w:hAnsi="Arial"/>
                <w:sz w:val="18"/>
                <w:szCs w:val="18"/>
                <w:color w:val="auto"/>
                <w:w w:val="93"/>
              </w:rPr>
              <w:t>274</w:t>
            </w:r>
          </w:p>
        </w:tc>
        <w:tc>
          <w:tcPr>
            <w:tcW w:w="120" w:type="dxa"/>
            <w:vAlign w:val="bottom"/>
          </w:tcPr>
          <w:p>
            <w:pPr>
              <w:spacing w:after="0"/>
              <w:rPr>
                <w:sz w:val="23"/>
                <w:szCs w:val="23"/>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84"/>
              </w:rPr>
              <w:t>Leased</w:t>
            </w:r>
          </w:p>
        </w:tc>
      </w:tr>
      <w:tr>
        <w:trPr>
          <w:trHeight w:val="270"/>
        </w:trPr>
        <w:tc>
          <w:tcPr>
            <w:tcW w:w="4160" w:type="dxa"/>
            <w:vAlign w:val="bottom"/>
          </w:tcPr>
          <w:p>
            <w:pPr>
              <w:spacing w:after="0"/>
              <w:rPr>
                <w:sz w:val="20"/>
                <w:szCs w:val="20"/>
                <w:color w:val="auto"/>
              </w:rPr>
            </w:pPr>
            <w:r>
              <w:rPr>
                <w:rFonts w:ascii="Arial" w:cs="Arial" w:eastAsia="Arial" w:hAnsi="Arial"/>
                <w:sz w:val="18"/>
                <w:szCs w:val="18"/>
                <w:color w:val="auto"/>
              </w:rPr>
              <w:t>Atlanta, GA</w:t>
            </w:r>
          </w:p>
        </w:tc>
        <w:tc>
          <w:tcPr>
            <w:tcW w:w="2360" w:type="dxa"/>
            <w:vAlign w:val="bottom"/>
            <w:gridSpan w:val="2"/>
          </w:tcPr>
          <w:p>
            <w:pPr>
              <w:jc w:val="center"/>
              <w:ind w:left="30"/>
              <w:spacing w:after="0"/>
              <w:rPr>
                <w:sz w:val="20"/>
                <w:szCs w:val="20"/>
                <w:color w:val="auto"/>
              </w:rPr>
            </w:pPr>
            <w:r>
              <w:rPr>
                <w:rFonts w:ascii="Arial" w:cs="Arial" w:eastAsia="Arial" w:hAnsi="Arial"/>
                <w:sz w:val="18"/>
                <w:szCs w:val="18"/>
                <w:color w:val="auto"/>
                <w:w w:val="93"/>
              </w:rPr>
              <w:t>227</w:t>
            </w:r>
          </w:p>
        </w:tc>
        <w:tc>
          <w:tcPr>
            <w:tcW w:w="120" w:type="dxa"/>
            <w:vAlign w:val="bottom"/>
          </w:tcPr>
          <w:p>
            <w:pPr>
              <w:spacing w:after="0"/>
              <w:rPr>
                <w:sz w:val="23"/>
                <w:szCs w:val="23"/>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84"/>
              </w:rPr>
              <w:t>Leased</w:t>
            </w:r>
          </w:p>
        </w:tc>
      </w:tr>
      <w:tr>
        <w:trPr>
          <w:trHeight w:val="270"/>
        </w:trPr>
        <w:tc>
          <w:tcPr>
            <w:tcW w:w="4160" w:type="dxa"/>
            <w:vAlign w:val="bottom"/>
          </w:tcPr>
          <w:p>
            <w:pPr>
              <w:spacing w:after="0"/>
              <w:rPr>
                <w:sz w:val="20"/>
                <w:szCs w:val="20"/>
                <w:color w:val="auto"/>
              </w:rPr>
            </w:pPr>
            <w:r>
              <w:rPr>
                <w:rFonts w:ascii="Arial" w:cs="Arial" w:eastAsia="Arial" w:hAnsi="Arial"/>
                <w:sz w:val="18"/>
                <w:szCs w:val="18"/>
                <w:color w:val="auto"/>
              </w:rPr>
              <w:t>Cincinnati, OH</w:t>
            </w:r>
          </w:p>
        </w:tc>
        <w:tc>
          <w:tcPr>
            <w:tcW w:w="2360" w:type="dxa"/>
            <w:vAlign w:val="bottom"/>
            <w:gridSpan w:val="2"/>
          </w:tcPr>
          <w:p>
            <w:pPr>
              <w:jc w:val="center"/>
              <w:ind w:left="30"/>
              <w:spacing w:after="0"/>
              <w:rPr>
                <w:sz w:val="20"/>
                <w:szCs w:val="20"/>
                <w:color w:val="auto"/>
              </w:rPr>
            </w:pPr>
            <w:r>
              <w:rPr>
                <w:rFonts w:ascii="Arial" w:cs="Arial" w:eastAsia="Arial" w:hAnsi="Arial"/>
                <w:sz w:val="18"/>
                <w:szCs w:val="18"/>
                <w:color w:val="auto"/>
                <w:w w:val="93"/>
              </w:rPr>
              <w:t>216</w:t>
            </w:r>
          </w:p>
        </w:tc>
        <w:tc>
          <w:tcPr>
            <w:tcW w:w="120" w:type="dxa"/>
            <w:vAlign w:val="bottom"/>
          </w:tcPr>
          <w:p>
            <w:pPr>
              <w:spacing w:after="0"/>
              <w:rPr>
                <w:sz w:val="23"/>
                <w:szCs w:val="23"/>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270"/>
        </w:trPr>
        <w:tc>
          <w:tcPr>
            <w:tcW w:w="4160" w:type="dxa"/>
            <w:vAlign w:val="bottom"/>
          </w:tcPr>
          <w:p>
            <w:pPr>
              <w:spacing w:after="0"/>
              <w:rPr>
                <w:sz w:val="20"/>
                <w:szCs w:val="20"/>
                <w:color w:val="auto"/>
              </w:rPr>
            </w:pPr>
            <w:r>
              <w:rPr>
                <w:rFonts w:ascii="Arial" w:cs="Arial" w:eastAsia="Arial" w:hAnsi="Arial"/>
                <w:sz w:val="18"/>
                <w:szCs w:val="18"/>
                <w:color w:val="auto"/>
              </w:rPr>
              <w:t>Greenville, SC</w:t>
            </w:r>
          </w:p>
        </w:tc>
        <w:tc>
          <w:tcPr>
            <w:tcW w:w="2360" w:type="dxa"/>
            <w:vAlign w:val="bottom"/>
            <w:gridSpan w:val="2"/>
          </w:tcPr>
          <w:p>
            <w:pPr>
              <w:jc w:val="center"/>
              <w:ind w:left="30"/>
              <w:spacing w:after="0"/>
              <w:rPr>
                <w:sz w:val="20"/>
                <w:szCs w:val="20"/>
                <w:color w:val="auto"/>
              </w:rPr>
            </w:pPr>
            <w:r>
              <w:rPr>
                <w:rFonts w:ascii="Arial" w:cs="Arial" w:eastAsia="Arial" w:hAnsi="Arial"/>
                <w:sz w:val="18"/>
                <w:szCs w:val="18"/>
                <w:color w:val="auto"/>
                <w:w w:val="93"/>
              </w:rPr>
              <w:t>214</w:t>
            </w:r>
          </w:p>
        </w:tc>
        <w:tc>
          <w:tcPr>
            <w:tcW w:w="120" w:type="dxa"/>
            <w:vAlign w:val="bottom"/>
          </w:tcPr>
          <w:p>
            <w:pPr>
              <w:spacing w:after="0"/>
              <w:rPr>
                <w:sz w:val="23"/>
                <w:szCs w:val="23"/>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270"/>
        </w:trPr>
        <w:tc>
          <w:tcPr>
            <w:tcW w:w="4160" w:type="dxa"/>
            <w:vAlign w:val="bottom"/>
          </w:tcPr>
          <w:p>
            <w:pPr>
              <w:spacing w:after="0"/>
              <w:rPr>
                <w:sz w:val="20"/>
                <w:szCs w:val="20"/>
                <w:color w:val="auto"/>
              </w:rPr>
            </w:pPr>
            <w:r>
              <w:rPr>
                <w:rFonts w:ascii="Arial" w:cs="Arial" w:eastAsia="Arial" w:hAnsi="Arial"/>
                <w:sz w:val="18"/>
                <w:szCs w:val="18"/>
                <w:color w:val="auto"/>
              </w:rPr>
              <w:t>Nashville, TN</w:t>
            </w:r>
          </w:p>
        </w:tc>
        <w:tc>
          <w:tcPr>
            <w:tcW w:w="2360" w:type="dxa"/>
            <w:vAlign w:val="bottom"/>
            <w:gridSpan w:val="2"/>
          </w:tcPr>
          <w:p>
            <w:pPr>
              <w:jc w:val="center"/>
              <w:ind w:left="30"/>
              <w:spacing w:after="0"/>
              <w:rPr>
                <w:sz w:val="20"/>
                <w:szCs w:val="20"/>
                <w:color w:val="auto"/>
              </w:rPr>
            </w:pPr>
            <w:r>
              <w:rPr>
                <w:rFonts w:ascii="Arial" w:cs="Arial" w:eastAsia="Arial" w:hAnsi="Arial"/>
                <w:sz w:val="18"/>
                <w:szCs w:val="18"/>
                <w:color w:val="auto"/>
                <w:w w:val="93"/>
              </w:rPr>
              <w:t>213</w:t>
            </w:r>
          </w:p>
        </w:tc>
        <w:tc>
          <w:tcPr>
            <w:tcW w:w="120" w:type="dxa"/>
            <w:vAlign w:val="bottom"/>
          </w:tcPr>
          <w:p>
            <w:pPr>
              <w:spacing w:after="0"/>
              <w:rPr>
                <w:sz w:val="23"/>
                <w:szCs w:val="23"/>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1"/>
              </w:rPr>
              <w:t>Owned</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Legal Proceedings</w:t>
      </w:r>
    </w:p>
    <w:p>
      <w:pPr>
        <w:spacing w:after="0" w:line="19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discuss legal proceedings in the “Commitments, Contingencies and Uncertainties” footnote, Note 11, of our consolidated financial statements included in this Annual Report on Form 10-K as well as in “Environmental Matters” Section in Part I hereof.</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Mine Safety Disclosures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1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200" w:type="dxa"/>
            <w:vAlign w:val="bottom"/>
            <w:gridSpan w:val="3"/>
          </w:tcPr>
          <w:p>
            <w:pPr>
              <w:ind w:left="780"/>
              <w:spacing w:after="0"/>
              <w:rPr>
                <w:sz w:val="20"/>
                <w:szCs w:val="20"/>
                <w:color w:val="auto"/>
              </w:rPr>
            </w:pPr>
            <w:r>
              <w:rPr>
                <w:rFonts w:ascii="Arial" w:cs="Arial" w:eastAsia="Arial" w:hAnsi="Arial"/>
                <w:sz w:val="14"/>
                <w:szCs w:val="14"/>
                <w:b w:val="1"/>
                <w:bCs w:val="1"/>
                <w:color w:val="auto"/>
              </w:rPr>
              <w:t>Age</w:t>
            </w:r>
          </w:p>
        </w:tc>
        <w:tc>
          <w:tcPr>
            <w:tcW w:w="7780" w:type="dxa"/>
            <w:vAlign w:val="bottom"/>
            <w:gridSpan w:val="2"/>
          </w:tcPr>
          <w:p>
            <w:pPr>
              <w:spacing w:after="0"/>
              <w:rPr>
                <w:sz w:val="20"/>
                <w:szCs w:val="20"/>
                <w:color w:val="auto"/>
              </w:rPr>
            </w:pPr>
            <w:r>
              <w:rPr>
                <w:rFonts w:ascii="Arial" w:cs="Arial" w:eastAsia="Arial" w:hAnsi="Arial"/>
                <w:sz w:val="14"/>
                <w:szCs w:val="14"/>
                <w:b w:val="1"/>
                <w:bCs w:val="1"/>
                <w:color w:val="auto"/>
              </w:rPr>
              <w:t>Position(s) Held</w:t>
            </w:r>
          </w:p>
        </w:tc>
      </w:tr>
      <w:tr>
        <w:trPr>
          <w:trHeight w:val="20"/>
        </w:trPr>
        <w:tc>
          <w:tcPr>
            <w:tcW w:w="36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r>
      <w:tr>
        <w:trPr>
          <w:trHeight w:val="370"/>
        </w:trPr>
        <w:tc>
          <w:tcPr>
            <w:tcW w:w="2180" w:type="dxa"/>
            <w:vAlign w:val="bottom"/>
            <w:gridSpan w:val="2"/>
          </w:tcPr>
          <w:p>
            <w:pPr>
              <w:spacing w:after="0"/>
              <w:rPr>
                <w:sz w:val="20"/>
                <w:szCs w:val="20"/>
                <w:color w:val="auto"/>
              </w:rPr>
            </w:pPr>
            <w:r>
              <w:rPr>
                <w:rFonts w:ascii="Arial" w:cs="Arial" w:eastAsia="Arial" w:hAnsi="Arial"/>
                <w:sz w:val="18"/>
                <w:szCs w:val="18"/>
                <w:color w:val="auto"/>
              </w:rPr>
              <w:t>Darren D. Hawkins</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c>
          <w:tcPr>
            <w:tcW w:w="180" w:type="dxa"/>
            <w:vAlign w:val="bottom"/>
          </w:tcPr>
          <w:p>
            <w:pPr>
              <w:spacing w:after="0"/>
              <w:rPr>
                <w:sz w:val="24"/>
                <w:szCs w:val="24"/>
                <w:color w:val="auto"/>
              </w:rPr>
            </w:pPr>
          </w:p>
        </w:tc>
        <w:tc>
          <w:tcPr>
            <w:tcW w:w="7780" w:type="dxa"/>
            <w:vAlign w:val="bottom"/>
            <w:gridSpan w:val="2"/>
          </w:tcPr>
          <w:p>
            <w:pPr>
              <w:spacing w:after="0"/>
              <w:rPr>
                <w:sz w:val="20"/>
                <w:szCs w:val="20"/>
                <w:color w:val="auto"/>
              </w:rPr>
            </w:pPr>
            <w:r>
              <w:rPr>
                <w:rFonts w:ascii="Arial" w:cs="Arial" w:eastAsia="Arial" w:hAnsi="Arial"/>
                <w:sz w:val="18"/>
                <w:szCs w:val="18"/>
                <w:color w:val="auto"/>
                <w:w w:val="94"/>
              </w:rPr>
              <w:t>Chief Executive Officer of the Company (since April 2018); President and Chief Operating Officer of the</w:t>
            </w:r>
          </w:p>
        </w:tc>
      </w:tr>
      <w:tr>
        <w:trPr>
          <w:trHeight w:val="216"/>
        </w:trPr>
        <w:tc>
          <w:tcPr>
            <w:tcW w:w="3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780" w:type="dxa"/>
            <w:vAlign w:val="bottom"/>
            <w:gridSpan w:val="2"/>
          </w:tcPr>
          <w:p>
            <w:pPr>
              <w:spacing w:after="0"/>
              <w:rPr>
                <w:sz w:val="20"/>
                <w:szCs w:val="20"/>
                <w:color w:val="auto"/>
              </w:rPr>
            </w:pPr>
            <w:r>
              <w:rPr>
                <w:rFonts w:ascii="Arial" w:cs="Arial" w:eastAsia="Arial" w:hAnsi="Arial"/>
                <w:sz w:val="18"/>
                <w:szCs w:val="18"/>
                <w:color w:val="auto"/>
                <w:w w:val="92"/>
              </w:rPr>
              <w:t>Company (January 2018-April 2018), President (February 2014-December 2017), Senior Vice President -</w:t>
            </w:r>
          </w:p>
        </w:tc>
      </w:tr>
      <w:tr>
        <w:trPr>
          <w:trHeight w:val="216"/>
        </w:trPr>
        <w:tc>
          <w:tcPr>
            <w:tcW w:w="3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780" w:type="dxa"/>
            <w:vAlign w:val="bottom"/>
            <w:gridSpan w:val="2"/>
          </w:tcPr>
          <w:p>
            <w:pPr>
              <w:spacing w:after="0"/>
              <w:rPr>
                <w:sz w:val="20"/>
                <w:szCs w:val="20"/>
                <w:color w:val="auto"/>
              </w:rPr>
            </w:pPr>
            <w:r>
              <w:rPr>
                <w:rFonts w:ascii="Arial" w:cs="Arial" w:eastAsia="Arial" w:hAnsi="Arial"/>
                <w:sz w:val="18"/>
                <w:szCs w:val="18"/>
                <w:color w:val="auto"/>
                <w:w w:val="94"/>
              </w:rPr>
              <w:t>Sales and Marketing (January 2013-February 2014) of YRC Freight; Director of Operations (December</w:t>
            </w:r>
          </w:p>
        </w:tc>
      </w:tr>
      <w:tr>
        <w:trPr>
          <w:trHeight w:val="216"/>
        </w:trPr>
        <w:tc>
          <w:tcPr>
            <w:tcW w:w="3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780" w:type="dxa"/>
            <w:vAlign w:val="bottom"/>
            <w:gridSpan w:val="2"/>
          </w:tcPr>
          <w:p>
            <w:pPr>
              <w:spacing w:after="0"/>
              <w:rPr>
                <w:sz w:val="20"/>
                <w:szCs w:val="20"/>
                <w:color w:val="auto"/>
              </w:rPr>
            </w:pPr>
            <w:r>
              <w:rPr>
                <w:rFonts w:ascii="Arial" w:cs="Arial" w:eastAsia="Arial" w:hAnsi="Arial"/>
                <w:sz w:val="18"/>
                <w:szCs w:val="18"/>
                <w:color w:val="auto"/>
                <w:w w:val="99"/>
              </w:rPr>
              <w:t>2011-January 2013) and Director of Sales (January 2009-December 2011) for Con-Way Freight, a</w:t>
            </w:r>
          </w:p>
        </w:tc>
      </w:tr>
      <w:tr>
        <w:trPr>
          <w:trHeight w:val="216"/>
        </w:trPr>
        <w:tc>
          <w:tcPr>
            <w:tcW w:w="3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780" w:type="dxa"/>
            <w:vAlign w:val="bottom"/>
            <w:gridSpan w:val="2"/>
          </w:tcPr>
          <w:p>
            <w:pPr>
              <w:spacing w:after="0"/>
              <w:rPr>
                <w:sz w:val="20"/>
                <w:szCs w:val="20"/>
                <w:color w:val="auto"/>
              </w:rPr>
            </w:pPr>
            <w:r>
              <w:rPr>
                <w:rFonts w:ascii="Arial" w:cs="Arial" w:eastAsia="Arial" w:hAnsi="Arial"/>
                <w:sz w:val="18"/>
                <w:szCs w:val="18"/>
                <w:color w:val="auto"/>
                <w:w w:val="92"/>
              </w:rPr>
              <w:t>subsidiary of Con-Way, Inc.; various positions of increasing responsibility with Yellow Transportation, Inc.</w:t>
            </w:r>
          </w:p>
        </w:tc>
      </w:tr>
      <w:tr>
        <w:trPr>
          <w:trHeight w:val="230"/>
        </w:trPr>
        <w:tc>
          <w:tcPr>
            <w:tcW w:w="3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8"/>
                <w:szCs w:val="18"/>
                <w:color w:val="auto"/>
                <w:w w:val="93"/>
              </w:rPr>
              <w:t>(1991-2009).</w:t>
            </w:r>
          </w:p>
        </w:tc>
        <w:tc>
          <w:tcPr>
            <w:tcW w:w="6800" w:type="dxa"/>
            <w:vAlign w:val="bottom"/>
          </w:tcPr>
          <w:p>
            <w:pPr>
              <w:spacing w:after="0"/>
              <w:rPr>
                <w:sz w:val="20"/>
                <w:szCs w:val="20"/>
                <w:color w:val="auto"/>
              </w:rPr>
            </w:pPr>
          </w:p>
        </w:tc>
      </w:tr>
      <w:tr>
        <w:trPr>
          <w:trHeight w:val="377"/>
        </w:trPr>
        <w:tc>
          <w:tcPr>
            <w:tcW w:w="2180" w:type="dxa"/>
            <w:vAlign w:val="bottom"/>
            <w:gridSpan w:val="2"/>
          </w:tcPr>
          <w:p>
            <w:pPr>
              <w:spacing w:after="0"/>
              <w:rPr>
                <w:sz w:val="20"/>
                <w:szCs w:val="20"/>
                <w:color w:val="auto"/>
              </w:rPr>
            </w:pPr>
            <w:r>
              <w:rPr>
                <w:rFonts w:ascii="Arial" w:cs="Arial" w:eastAsia="Arial" w:hAnsi="Arial"/>
                <w:sz w:val="18"/>
                <w:szCs w:val="18"/>
                <w:color w:val="auto"/>
              </w:rPr>
              <w:t>Daniel L. Olivier</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24"/>
                <w:szCs w:val="24"/>
                <w:color w:val="auto"/>
              </w:rPr>
            </w:pPr>
          </w:p>
        </w:tc>
        <w:tc>
          <w:tcPr>
            <w:tcW w:w="7780" w:type="dxa"/>
            <w:vAlign w:val="bottom"/>
            <w:gridSpan w:val="2"/>
          </w:tcPr>
          <w:p>
            <w:pPr>
              <w:spacing w:after="0"/>
              <w:rPr>
                <w:sz w:val="20"/>
                <w:szCs w:val="20"/>
                <w:color w:val="auto"/>
              </w:rPr>
            </w:pPr>
            <w:r>
              <w:rPr>
                <w:rFonts w:ascii="Arial" w:cs="Arial" w:eastAsia="Arial" w:hAnsi="Arial"/>
                <w:sz w:val="18"/>
                <w:szCs w:val="18"/>
                <w:color w:val="auto"/>
                <w:w w:val="95"/>
              </w:rPr>
              <w:t>Chief Financial Officer of the Company (since October 2020); Vice President of Financial Planning and</w:t>
            </w:r>
          </w:p>
        </w:tc>
      </w:tr>
      <w:tr>
        <w:trPr>
          <w:trHeight w:val="216"/>
        </w:trPr>
        <w:tc>
          <w:tcPr>
            <w:tcW w:w="3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780" w:type="dxa"/>
            <w:vAlign w:val="bottom"/>
            <w:gridSpan w:val="2"/>
          </w:tcPr>
          <w:p>
            <w:pPr>
              <w:spacing w:after="0"/>
              <w:rPr>
                <w:sz w:val="20"/>
                <w:szCs w:val="20"/>
                <w:color w:val="auto"/>
              </w:rPr>
            </w:pPr>
            <w:r>
              <w:rPr>
                <w:rFonts w:ascii="Arial" w:cs="Arial" w:eastAsia="Arial" w:hAnsi="Arial"/>
                <w:sz w:val="18"/>
                <w:szCs w:val="18"/>
                <w:color w:val="auto"/>
                <w:w w:val="96"/>
              </w:rPr>
              <w:t>Analysis of the Company (November 2019-October 2020); Vice President, Finance of Holland (2008-</w:t>
            </w:r>
          </w:p>
        </w:tc>
      </w:tr>
      <w:tr>
        <w:trPr>
          <w:trHeight w:val="230"/>
        </w:trPr>
        <w:tc>
          <w:tcPr>
            <w:tcW w:w="3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2020).</w:t>
            </w:r>
          </w:p>
        </w:tc>
        <w:tc>
          <w:tcPr>
            <w:tcW w:w="6800" w:type="dxa"/>
            <w:vAlign w:val="bottom"/>
          </w:tcPr>
          <w:p>
            <w:pPr>
              <w:spacing w:after="0"/>
              <w:rPr>
                <w:sz w:val="20"/>
                <w:szCs w:val="20"/>
                <w:color w:val="auto"/>
              </w:rPr>
            </w:pPr>
          </w:p>
        </w:tc>
      </w:tr>
      <w:tr>
        <w:trPr>
          <w:trHeight w:val="350"/>
        </w:trPr>
        <w:tc>
          <w:tcPr>
            <w:tcW w:w="2180" w:type="dxa"/>
            <w:vAlign w:val="bottom"/>
            <w:gridSpan w:val="2"/>
          </w:tcPr>
          <w:p>
            <w:pPr>
              <w:spacing w:after="0"/>
              <w:rPr>
                <w:sz w:val="20"/>
                <w:szCs w:val="20"/>
                <w:color w:val="auto"/>
              </w:rPr>
            </w:pPr>
            <w:r>
              <w:rPr>
                <w:rFonts w:ascii="Arial" w:cs="Arial" w:eastAsia="Arial" w:hAnsi="Arial"/>
                <w:sz w:val="18"/>
                <w:szCs w:val="18"/>
                <w:color w:val="auto"/>
              </w:rPr>
              <w:t>Jason Bergman</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180" w:type="dxa"/>
            <w:vAlign w:val="bottom"/>
          </w:tcPr>
          <w:p>
            <w:pPr>
              <w:spacing w:after="0"/>
              <w:rPr>
                <w:sz w:val="24"/>
                <w:szCs w:val="24"/>
                <w:color w:val="auto"/>
              </w:rPr>
            </w:pPr>
          </w:p>
        </w:tc>
        <w:tc>
          <w:tcPr>
            <w:tcW w:w="7780" w:type="dxa"/>
            <w:vAlign w:val="bottom"/>
            <w:gridSpan w:val="2"/>
          </w:tcPr>
          <w:p>
            <w:pPr>
              <w:spacing w:after="0"/>
              <w:rPr>
                <w:sz w:val="20"/>
                <w:szCs w:val="20"/>
                <w:color w:val="auto"/>
              </w:rPr>
            </w:pPr>
            <w:r>
              <w:rPr>
                <w:rFonts w:ascii="Arial" w:cs="Arial" w:eastAsia="Arial" w:hAnsi="Arial"/>
                <w:sz w:val="18"/>
                <w:szCs w:val="18"/>
                <w:color w:val="auto"/>
              </w:rPr>
              <w:t>Chief Commercial Officer of the Company (since July 2019); Chief Commercial Officer of Dicom</w:t>
            </w:r>
          </w:p>
        </w:tc>
      </w:tr>
      <w:tr>
        <w:trPr>
          <w:trHeight w:val="216"/>
        </w:trPr>
        <w:tc>
          <w:tcPr>
            <w:tcW w:w="3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780" w:type="dxa"/>
            <w:vAlign w:val="bottom"/>
            <w:gridSpan w:val="2"/>
          </w:tcPr>
          <w:p>
            <w:pPr>
              <w:spacing w:after="0"/>
              <w:rPr>
                <w:sz w:val="20"/>
                <w:szCs w:val="20"/>
                <w:color w:val="auto"/>
              </w:rPr>
            </w:pPr>
            <w:r>
              <w:rPr>
                <w:rFonts w:ascii="Arial" w:cs="Arial" w:eastAsia="Arial" w:hAnsi="Arial"/>
                <w:sz w:val="18"/>
                <w:szCs w:val="18"/>
                <w:color w:val="auto"/>
                <w:w w:val="90"/>
              </w:rPr>
              <w:t>Transportation Group (courier and expedited transportation services) (2017-2019); executive Vice President</w:t>
            </w:r>
          </w:p>
        </w:tc>
      </w:tr>
      <w:tr>
        <w:trPr>
          <w:trHeight w:val="216"/>
        </w:trPr>
        <w:tc>
          <w:tcPr>
            <w:tcW w:w="3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780" w:type="dxa"/>
            <w:vAlign w:val="bottom"/>
            <w:gridSpan w:val="2"/>
          </w:tcPr>
          <w:p>
            <w:pPr>
              <w:spacing w:after="0"/>
              <w:rPr>
                <w:sz w:val="20"/>
                <w:szCs w:val="20"/>
                <w:color w:val="auto"/>
              </w:rPr>
            </w:pPr>
            <w:r>
              <w:rPr>
                <w:rFonts w:ascii="Arial" w:cs="Arial" w:eastAsia="Arial" w:hAnsi="Arial"/>
                <w:sz w:val="18"/>
                <w:szCs w:val="18"/>
                <w:color w:val="auto"/>
                <w:w w:val="93"/>
              </w:rPr>
              <w:t>of Global Transport for BDP International (transportation logistics) (2014-2016); Vice President, Strategic</w:t>
            </w:r>
          </w:p>
        </w:tc>
      </w:tr>
      <w:tr>
        <w:trPr>
          <w:trHeight w:val="230"/>
        </w:trPr>
        <w:tc>
          <w:tcPr>
            <w:tcW w:w="3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780" w:type="dxa"/>
            <w:vAlign w:val="bottom"/>
            <w:gridSpan w:val="2"/>
          </w:tcPr>
          <w:p>
            <w:pPr>
              <w:spacing w:after="0"/>
              <w:rPr>
                <w:sz w:val="20"/>
                <w:szCs w:val="20"/>
                <w:color w:val="auto"/>
              </w:rPr>
            </w:pPr>
            <w:r>
              <w:rPr>
                <w:rFonts w:ascii="Arial" w:cs="Arial" w:eastAsia="Arial" w:hAnsi="Arial"/>
                <w:sz w:val="18"/>
                <w:szCs w:val="18"/>
                <w:color w:val="auto"/>
              </w:rPr>
              <w:t>Sales, North America for Damco (global logistics) (2013-2014).</w:t>
            </w:r>
          </w:p>
        </w:tc>
      </w:tr>
      <w:tr>
        <w:trPr>
          <w:trHeight w:val="350"/>
        </w:trPr>
        <w:tc>
          <w:tcPr>
            <w:tcW w:w="2180" w:type="dxa"/>
            <w:vAlign w:val="bottom"/>
            <w:gridSpan w:val="2"/>
          </w:tcPr>
          <w:p>
            <w:pPr>
              <w:spacing w:after="0"/>
              <w:rPr>
                <w:sz w:val="20"/>
                <w:szCs w:val="20"/>
                <w:color w:val="auto"/>
              </w:rPr>
            </w:pPr>
            <w:r>
              <w:rPr>
                <w:rFonts w:ascii="Arial" w:cs="Arial" w:eastAsia="Arial" w:hAnsi="Arial"/>
                <w:sz w:val="18"/>
                <w:szCs w:val="18"/>
                <w:color w:val="auto"/>
              </w:rPr>
              <w:t>Leah K. Dawson</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24"/>
                <w:szCs w:val="24"/>
                <w:color w:val="auto"/>
              </w:rPr>
            </w:pPr>
          </w:p>
        </w:tc>
        <w:tc>
          <w:tcPr>
            <w:tcW w:w="7780" w:type="dxa"/>
            <w:vAlign w:val="bottom"/>
            <w:gridSpan w:val="2"/>
          </w:tcPr>
          <w:p>
            <w:pPr>
              <w:spacing w:after="0"/>
              <w:rPr>
                <w:sz w:val="20"/>
                <w:szCs w:val="20"/>
                <w:color w:val="auto"/>
              </w:rPr>
            </w:pPr>
            <w:r>
              <w:rPr>
                <w:rFonts w:ascii="Arial" w:cs="Arial" w:eastAsia="Arial" w:hAnsi="Arial"/>
                <w:sz w:val="18"/>
                <w:szCs w:val="18"/>
                <w:color w:val="auto"/>
                <w:w w:val="91"/>
              </w:rPr>
              <w:t>Executive Vice President, General Counsel and Secretary of the Company (since October 2020), Assistant</w:t>
            </w:r>
          </w:p>
        </w:tc>
      </w:tr>
      <w:tr>
        <w:trPr>
          <w:trHeight w:val="216"/>
        </w:trPr>
        <w:tc>
          <w:tcPr>
            <w:tcW w:w="3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780" w:type="dxa"/>
            <w:vAlign w:val="bottom"/>
            <w:gridSpan w:val="2"/>
          </w:tcPr>
          <w:p>
            <w:pPr>
              <w:spacing w:after="0"/>
              <w:rPr>
                <w:sz w:val="20"/>
                <w:szCs w:val="20"/>
                <w:color w:val="auto"/>
              </w:rPr>
            </w:pPr>
            <w:r>
              <w:rPr>
                <w:rFonts w:ascii="Arial" w:cs="Arial" w:eastAsia="Arial" w:hAnsi="Arial"/>
                <w:sz w:val="18"/>
                <w:szCs w:val="18"/>
                <w:color w:val="auto"/>
                <w:w w:val="93"/>
              </w:rPr>
              <w:t>General Counsel and Assistant Secretary of the Company (2012-2020); Attorney at the law firm of Bryan</w:t>
            </w:r>
          </w:p>
        </w:tc>
      </w:tr>
      <w:tr>
        <w:trPr>
          <w:trHeight w:val="230"/>
        </w:trPr>
        <w:tc>
          <w:tcPr>
            <w:tcW w:w="3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780" w:type="dxa"/>
            <w:vAlign w:val="bottom"/>
            <w:gridSpan w:val="2"/>
          </w:tcPr>
          <w:p>
            <w:pPr>
              <w:spacing w:after="0"/>
              <w:rPr>
                <w:sz w:val="20"/>
                <w:szCs w:val="20"/>
                <w:color w:val="auto"/>
              </w:rPr>
            </w:pPr>
            <w:r>
              <w:rPr>
                <w:rFonts w:ascii="Arial" w:cs="Arial" w:eastAsia="Arial" w:hAnsi="Arial"/>
                <w:sz w:val="18"/>
                <w:szCs w:val="18"/>
                <w:color w:val="auto"/>
              </w:rPr>
              <w:t>Cave Leighton Paisner LLP (2010-2012); Attorney at the law firm of Dentons LLP (2005-2010).</w:t>
            </w:r>
          </w:p>
        </w:tc>
      </w:tr>
      <w:tr>
        <w:trPr>
          <w:trHeight w:val="350"/>
        </w:trPr>
        <w:tc>
          <w:tcPr>
            <w:tcW w:w="2180" w:type="dxa"/>
            <w:vAlign w:val="bottom"/>
            <w:gridSpan w:val="2"/>
          </w:tcPr>
          <w:p>
            <w:pPr>
              <w:spacing w:after="0"/>
              <w:rPr>
                <w:sz w:val="20"/>
                <w:szCs w:val="20"/>
                <w:color w:val="auto"/>
              </w:rPr>
            </w:pPr>
            <w:r>
              <w:rPr>
                <w:rFonts w:ascii="Arial" w:cs="Arial" w:eastAsia="Arial" w:hAnsi="Arial"/>
                <w:sz w:val="18"/>
                <w:szCs w:val="18"/>
                <w:color w:val="auto"/>
              </w:rPr>
              <w:t>Darrel J. Harris</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c>
          <w:tcPr>
            <w:tcW w:w="180" w:type="dxa"/>
            <w:vAlign w:val="bottom"/>
          </w:tcPr>
          <w:p>
            <w:pPr>
              <w:spacing w:after="0"/>
              <w:rPr>
                <w:sz w:val="24"/>
                <w:szCs w:val="24"/>
                <w:color w:val="auto"/>
              </w:rPr>
            </w:pPr>
          </w:p>
        </w:tc>
        <w:tc>
          <w:tcPr>
            <w:tcW w:w="7780" w:type="dxa"/>
            <w:vAlign w:val="bottom"/>
            <w:gridSpan w:val="2"/>
          </w:tcPr>
          <w:p>
            <w:pPr>
              <w:spacing w:after="0"/>
              <w:rPr>
                <w:sz w:val="20"/>
                <w:szCs w:val="20"/>
                <w:color w:val="auto"/>
              </w:rPr>
            </w:pPr>
            <w:r>
              <w:rPr>
                <w:rFonts w:ascii="Arial" w:cs="Arial" w:eastAsia="Arial" w:hAnsi="Arial"/>
                <w:sz w:val="18"/>
                <w:szCs w:val="18"/>
                <w:color w:val="auto"/>
                <w:w w:val="92"/>
              </w:rPr>
              <w:t>President and Chief Operating Officer of the Company (since November 2021); President of the Company</w:t>
            </w:r>
          </w:p>
        </w:tc>
      </w:tr>
      <w:tr>
        <w:trPr>
          <w:trHeight w:val="216"/>
        </w:trPr>
        <w:tc>
          <w:tcPr>
            <w:tcW w:w="3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780" w:type="dxa"/>
            <w:vAlign w:val="bottom"/>
            <w:gridSpan w:val="2"/>
          </w:tcPr>
          <w:p>
            <w:pPr>
              <w:spacing w:after="0"/>
              <w:rPr>
                <w:sz w:val="20"/>
                <w:szCs w:val="20"/>
                <w:color w:val="auto"/>
              </w:rPr>
            </w:pPr>
            <w:r>
              <w:rPr>
                <w:rFonts w:ascii="Arial" w:cs="Arial" w:eastAsia="Arial" w:hAnsi="Arial"/>
                <w:sz w:val="18"/>
                <w:szCs w:val="18"/>
                <w:color w:val="auto"/>
                <w:w w:val="94"/>
              </w:rPr>
              <w:t>(April 2021-November 2021); Executive Vice President, Strategic Initiatives of the Company (November</w:t>
            </w:r>
          </w:p>
        </w:tc>
      </w:tr>
      <w:tr>
        <w:trPr>
          <w:trHeight w:val="216"/>
        </w:trPr>
        <w:tc>
          <w:tcPr>
            <w:tcW w:w="3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780" w:type="dxa"/>
            <w:vAlign w:val="bottom"/>
            <w:gridSpan w:val="2"/>
          </w:tcPr>
          <w:p>
            <w:pPr>
              <w:spacing w:after="0"/>
              <w:rPr>
                <w:sz w:val="20"/>
                <w:szCs w:val="20"/>
                <w:color w:val="auto"/>
              </w:rPr>
            </w:pPr>
            <w:r>
              <w:rPr>
                <w:rFonts w:ascii="Arial" w:cs="Arial" w:eastAsia="Arial" w:hAnsi="Arial"/>
                <w:sz w:val="18"/>
                <w:szCs w:val="18"/>
                <w:color w:val="auto"/>
                <w:w w:val="92"/>
              </w:rPr>
              <w:t>2020-April 2021); Chief Executive Officer of Xpress Global Systems Inc. (2016-2020); Vice President and</w:t>
            </w:r>
          </w:p>
        </w:tc>
      </w:tr>
      <w:tr>
        <w:trPr>
          <w:trHeight w:val="216"/>
        </w:trPr>
        <w:tc>
          <w:tcPr>
            <w:tcW w:w="3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780" w:type="dxa"/>
            <w:vAlign w:val="bottom"/>
            <w:gridSpan w:val="2"/>
          </w:tcPr>
          <w:p>
            <w:pPr>
              <w:spacing w:after="0"/>
              <w:rPr>
                <w:sz w:val="20"/>
                <w:szCs w:val="20"/>
                <w:color w:val="auto"/>
              </w:rPr>
            </w:pPr>
            <w:r>
              <w:rPr>
                <w:rFonts w:ascii="Arial" w:cs="Arial" w:eastAsia="Arial" w:hAnsi="Arial"/>
                <w:sz w:val="18"/>
                <w:szCs w:val="18"/>
                <w:color w:val="auto"/>
                <w:w w:val="91"/>
              </w:rPr>
              <w:t>General Manager of CRST International (2014-2016); Senior Vice President, Sales and Marketing of Vitran</w:t>
            </w:r>
          </w:p>
        </w:tc>
      </w:tr>
      <w:tr>
        <w:trPr>
          <w:trHeight w:val="216"/>
        </w:trPr>
        <w:tc>
          <w:tcPr>
            <w:tcW w:w="3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780" w:type="dxa"/>
            <w:vAlign w:val="bottom"/>
            <w:gridSpan w:val="2"/>
          </w:tcPr>
          <w:p>
            <w:pPr>
              <w:spacing w:after="0"/>
              <w:rPr>
                <w:sz w:val="20"/>
                <w:szCs w:val="20"/>
                <w:color w:val="auto"/>
              </w:rPr>
            </w:pPr>
            <w:r>
              <w:rPr>
                <w:rFonts w:ascii="Arial" w:cs="Arial" w:eastAsia="Arial" w:hAnsi="Arial"/>
                <w:sz w:val="18"/>
                <w:szCs w:val="18"/>
                <w:color w:val="auto"/>
                <w:w w:val="91"/>
              </w:rPr>
              <w:t>Logistics (2012-2013); various positions of increasing responsibility with FedEx Freight, Inc., most recently</w:t>
            </w:r>
          </w:p>
        </w:tc>
      </w:tr>
      <w:tr>
        <w:trPr>
          <w:trHeight w:val="230"/>
        </w:trPr>
        <w:tc>
          <w:tcPr>
            <w:tcW w:w="3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780" w:type="dxa"/>
            <w:vAlign w:val="bottom"/>
            <w:gridSpan w:val="2"/>
          </w:tcPr>
          <w:p>
            <w:pPr>
              <w:spacing w:after="0"/>
              <w:rPr>
                <w:sz w:val="20"/>
                <w:szCs w:val="20"/>
                <w:color w:val="auto"/>
              </w:rPr>
            </w:pPr>
            <w:r>
              <w:rPr>
                <w:rFonts w:ascii="Arial" w:cs="Arial" w:eastAsia="Arial" w:hAnsi="Arial"/>
                <w:sz w:val="18"/>
                <w:szCs w:val="18"/>
                <w:color w:val="auto"/>
              </w:rPr>
              <w:t>Managing Director (2000-2012).</w:t>
            </w:r>
          </w:p>
        </w:tc>
      </w:tr>
      <w:tr>
        <w:trPr>
          <w:trHeight w:val="350"/>
        </w:trPr>
        <w:tc>
          <w:tcPr>
            <w:tcW w:w="2180" w:type="dxa"/>
            <w:vAlign w:val="bottom"/>
            <w:gridSpan w:val="2"/>
          </w:tcPr>
          <w:p>
            <w:pPr>
              <w:spacing w:after="0"/>
              <w:rPr>
                <w:sz w:val="20"/>
                <w:szCs w:val="20"/>
                <w:color w:val="auto"/>
              </w:rPr>
            </w:pPr>
            <w:r>
              <w:rPr>
                <w:rFonts w:ascii="Arial" w:cs="Arial" w:eastAsia="Arial" w:hAnsi="Arial"/>
                <w:sz w:val="18"/>
                <w:szCs w:val="18"/>
                <w:color w:val="auto"/>
              </w:rPr>
              <w:t>Annlea Rumfola</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c>
          <w:tcPr>
            <w:tcW w:w="180" w:type="dxa"/>
            <w:vAlign w:val="bottom"/>
          </w:tcPr>
          <w:p>
            <w:pPr>
              <w:spacing w:after="0"/>
              <w:rPr>
                <w:sz w:val="24"/>
                <w:szCs w:val="24"/>
                <w:color w:val="auto"/>
              </w:rPr>
            </w:pPr>
          </w:p>
        </w:tc>
        <w:tc>
          <w:tcPr>
            <w:tcW w:w="7780" w:type="dxa"/>
            <w:vAlign w:val="bottom"/>
            <w:gridSpan w:val="2"/>
          </w:tcPr>
          <w:p>
            <w:pPr>
              <w:spacing w:after="0"/>
              <w:rPr>
                <w:sz w:val="20"/>
                <w:szCs w:val="20"/>
                <w:color w:val="auto"/>
              </w:rPr>
            </w:pPr>
            <w:r>
              <w:rPr>
                <w:rFonts w:ascii="Arial" w:cs="Arial" w:eastAsia="Arial" w:hAnsi="Arial"/>
                <w:sz w:val="18"/>
                <w:szCs w:val="18"/>
                <w:color w:val="auto"/>
              </w:rPr>
              <w:t>Chief Information Officer of the Company (since January 2023); Cardinal Health, Inc. (health care</w:t>
            </w:r>
          </w:p>
        </w:tc>
      </w:tr>
      <w:tr>
        <w:trPr>
          <w:trHeight w:val="216"/>
        </w:trPr>
        <w:tc>
          <w:tcPr>
            <w:tcW w:w="3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780" w:type="dxa"/>
            <w:vAlign w:val="bottom"/>
            <w:gridSpan w:val="2"/>
          </w:tcPr>
          <w:p>
            <w:pPr>
              <w:spacing w:after="0"/>
              <w:rPr>
                <w:sz w:val="20"/>
                <w:szCs w:val="20"/>
                <w:color w:val="auto"/>
              </w:rPr>
            </w:pPr>
            <w:r>
              <w:rPr>
                <w:rFonts w:ascii="Arial" w:cs="Arial" w:eastAsia="Arial" w:hAnsi="Arial"/>
                <w:sz w:val="18"/>
                <w:szCs w:val="18"/>
                <w:color w:val="auto"/>
                <w:w w:val="95"/>
              </w:rPr>
              <w:t>solutions, logistics and supplies): Senior Vice President, CIO Medical Segment (April 2018–December</w:t>
            </w:r>
          </w:p>
        </w:tc>
      </w:tr>
      <w:tr>
        <w:trPr>
          <w:trHeight w:val="216"/>
        </w:trPr>
        <w:tc>
          <w:tcPr>
            <w:tcW w:w="3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780" w:type="dxa"/>
            <w:vAlign w:val="bottom"/>
            <w:gridSpan w:val="2"/>
          </w:tcPr>
          <w:p>
            <w:pPr>
              <w:spacing w:after="0"/>
              <w:rPr>
                <w:sz w:val="20"/>
                <w:szCs w:val="20"/>
                <w:color w:val="auto"/>
              </w:rPr>
            </w:pPr>
            <w:r>
              <w:rPr>
                <w:rFonts w:ascii="Arial" w:cs="Arial" w:eastAsia="Arial" w:hAnsi="Arial"/>
                <w:sz w:val="18"/>
                <w:szCs w:val="18"/>
                <w:color w:val="auto"/>
                <w:w w:val="95"/>
              </w:rPr>
              <w:t>2022), Senior Vice President, Divisional CIO Pharmaceutical Segment (2015-2018), Vice President, IT</w:t>
            </w:r>
          </w:p>
        </w:tc>
      </w:tr>
      <w:tr>
        <w:trPr>
          <w:trHeight w:val="216"/>
        </w:trPr>
        <w:tc>
          <w:tcPr>
            <w:tcW w:w="3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780" w:type="dxa"/>
            <w:vAlign w:val="bottom"/>
            <w:gridSpan w:val="2"/>
          </w:tcPr>
          <w:p>
            <w:pPr>
              <w:spacing w:after="0"/>
              <w:rPr>
                <w:sz w:val="20"/>
                <w:szCs w:val="20"/>
                <w:color w:val="auto"/>
              </w:rPr>
            </w:pPr>
            <w:r>
              <w:rPr>
                <w:rFonts w:ascii="Arial" w:cs="Arial" w:eastAsia="Arial" w:hAnsi="Arial"/>
                <w:sz w:val="18"/>
                <w:szCs w:val="18"/>
                <w:color w:val="auto"/>
                <w:w w:val="92"/>
              </w:rPr>
              <w:t>Pharmaceutical Distribution and Pharma-Modernization Program (2013-2015), Vice President, IT Nuclear</w:t>
            </w:r>
          </w:p>
        </w:tc>
      </w:tr>
      <w:tr>
        <w:trPr>
          <w:trHeight w:val="230"/>
        </w:trPr>
        <w:tc>
          <w:tcPr>
            <w:tcW w:w="3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780" w:type="dxa"/>
            <w:vAlign w:val="bottom"/>
            <w:gridSpan w:val="2"/>
          </w:tcPr>
          <w:p>
            <w:pPr>
              <w:spacing w:after="0"/>
              <w:rPr>
                <w:sz w:val="20"/>
                <w:szCs w:val="20"/>
                <w:color w:val="auto"/>
              </w:rPr>
            </w:pPr>
            <w:r>
              <w:rPr>
                <w:rFonts w:ascii="Arial" w:cs="Arial" w:eastAsia="Arial" w:hAnsi="Arial"/>
                <w:sz w:val="18"/>
                <w:szCs w:val="18"/>
                <w:color w:val="auto"/>
              </w:rPr>
              <w:t>Pharmacy Services (2009-2013), various positions of increasing responsibility (1991-2009).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5" w:right="39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PART II</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Market for Registrant’s Common Equity, Related Stockholder Matters and Issuer Purchases of Equity Securities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February 6, 2023, 141 stockholders of record held Yellow Corporation common stock. The NASDAQ Global Select Market quotes prices for our common stock under the symbol “YELL”. We do not anticipate that we will pay any dividends on shares of our common stock in the foreseeable future. Further, our TL Agreements (as defined in Item 7 below) in place as of December 31, 2022, restrict the ability of the Company to declare dividends on its outstanding capital stock or execute stock share buybacks.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Performance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Set forth below is a line graph comparing the quarterly percentage change in the cumulative total stockholder return of the Company’s common stock against the cumulative total return of the S&amp;P Composite-500 Stock Index and the Dow Jones Transportation Average Stock Index for the period of five years commencing December 31, 2017 and ending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1057910</wp:posOffset>
            </wp:positionH>
            <wp:positionV relativeFrom="paragraph">
              <wp:posOffset>125095</wp:posOffset>
            </wp:positionV>
            <wp:extent cx="5000625" cy="2312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000625" cy="2312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Selected Financial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[Reserved]</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auto"/>
        </w:rPr>
        <w:t>Item 7. Management’s Discussion and Analysis of Financial Condition and Results of Operations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Item 7, “Management’s Discussion and Analysis of Financial Condition and Results of Operations,” “MD&amp;A”, contains forward-looking statements within the meaning of Section 27A of the Securities Act and Section 21E of the Exchange Act. See the introductory section immediately prior to “Part I” and Risk Factors in “Item 1A” of this report regarding these statements.</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This MD&amp;A includes the following sections:</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 xml:space="preserve">Our Business: </w:t>
      </w:r>
      <w:r>
        <w:rPr>
          <w:rFonts w:ascii="Arial" w:cs="Arial" w:eastAsia="Arial" w:hAnsi="Arial"/>
          <w:sz w:val="18"/>
          <w:szCs w:val="18"/>
          <w:color w:val="auto"/>
        </w:rPr>
        <w:t>a brief description of our business and a discussion of how we assess our operating results</w:t>
      </w:r>
    </w:p>
    <w:p>
      <w:pPr>
        <w:spacing w:after="0" w:line="198" w:lineRule="exact"/>
        <w:rPr>
          <w:sz w:val="20"/>
          <w:szCs w:val="20"/>
          <w:color w:val="auto"/>
        </w:rPr>
      </w:pPr>
    </w:p>
    <w:p>
      <w:pPr>
        <w:ind w:left="760"/>
        <w:spacing w:after="0" w:line="281" w:lineRule="auto"/>
        <w:rPr>
          <w:sz w:val="20"/>
          <w:szCs w:val="20"/>
          <w:color w:val="auto"/>
        </w:rPr>
      </w:pPr>
      <w:r>
        <w:rPr>
          <w:rFonts w:ascii="Arial" w:cs="Arial" w:eastAsia="Arial" w:hAnsi="Arial"/>
          <w:sz w:val="18"/>
          <w:szCs w:val="18"/>
          <w:b w:val="1"/>
          <w:bCs w:val="1"/>
          <w:color w:val="auto"/>
        </w:rPr>
        <w:t xml:space="preserve">Consolidated Results of Operations: </w:t>
      </w:r>
      <w:r>
        <w:rPr>
          <w:rFonts w:ascii="Arial" w:cs="Arial" w:eastAsia="Arial" w:hAnsi="Arial"/>
          <w:sz w:val="18"/>
          <w:szCs w:val="18"/>
          <w:color w:val="auto"/>
        </w:rPr>
        <w:t>an analysis of our consolidated results of operations for the years ended December 31, 2022, 2021 and</w:t>
      </w:r>
      <w:r>
        <w:rPr>
          <w:rFonts w:ascii="Arial" w:cs="Arial" w:eastAsia="Arial" w:hAnsi="Arial"/>
          <w:sz w:val="18"/>
          <w:szCs w:val="18"/>
          <w:b w:val="1"/>
          <w:bCs w:val="1"/>
          <w:color w:val="auto"/>
        </w:rPr>
        <w:t xml:space="preserve"> </w:t>
      </w:r>
      <w:r>
        <w:rPr>
          <w:rFonts w:ascii="Arial" w:cs="Arial" w:eastAsia="Arial" w:hAnsi="Arial"/>
          <w:sz w:val="18"/>
          <w:szCs w:val="18"/>
          <w:color w:val="auto"/>
        </w:rPr>
        <w:t>2020</w:t>
      </w:r>
    </w:p>
    <w:p>
      <w:pPr>
        <w:spacing w:after="0" w:line="122" w:lineRule="exact"/>
        <w:rPr>
          <w:sz w:val="20"/>
          <w:szCs w:val="20"/>
          <w:color w:val="auto"/>
        </w:rPr>
      </w:pPr>
    </w:p>
    <w:p>
      <w:pPr>
        <w:ind w:left="760"/>
        <w:spacing w:after="0" w:line="281" w:lineRule="auto"/>
        <w:rPr>
          <w:sz w:val="20"/>
          <w:szCs w:val="20"/>
          <w:color w:val="auto"/>
        </w:rPr>
      </w:pPr>
      <w:r>
        <w:rPr>
          <w:rFonts w:ascii="Arial" w:cs="Arial" w:eastAsia="Arial" w:hAnsi="Arial"/>
          <w:sz w:val="18"/>
          <w:szCs w:val="18"/>
          <w:b w:val="1"/>
          <w:bCs w:val="1"/>
          <w:color w:val="auto"/>
        </w:rPr>
        <w:t xml:space="preserve">Certain Non-GAAP Financial Measures: </w:t>
      </w:r>
      <w:r>
        <w:rPr>
          <w:rFonts w:ascii="Arial" w:cs="Arial" w:eastAsia="Arial" w:hAnsi="Arial"/>
          <w:sz w:val="18"/>
          <w:szCs w:val="18"/>
          <w:color w:val="auto"/>
        </w:rPr>
        <w:t>an analysis of our results using certain non-GAAP financial measures, for the years ended December</w:t>
      </w:r>
      <w:r>
        <w:rPr>
          <w:rFonts w:ascii="Arial" w:cs="Arial" w:eastAsia="Arial" w:hAnsi="Arial"/>
          <w:sz w:val="18"/>
          <w:szCs w:val="18"/>
          <w:b w:val="1"/>
          <w:bCs w:val="1"/>
          <w:color w:val="auto"/>
        </w:rPr>
        <w:t xml:space="preserve"> </w:t>
      </w:r>
      <w:r>
        <w:rPr>
          <w:rFonts w:ascii="Arial" w:cs="Arial" w:eastAsia="Arial" w:hAnsi="Arial"/>
          <w:sz w:val="18"/>
          <w:szCs w:val="18"/>
          <w:color w:val="auto"/>
        </w:rPr>
        <w:t>31, 2022, 2021 and 2020</w:t>
      </w:r>
    </w:p>
    <w:p>
      <w:pPr>
        <w:spacing w:after="0" w:line="122" w:lineRule="exact"/>
        <w:rPr>
          <w:sz w:val="20"/>
          <w:szCs w:val="20"/>
          <w:color w:val="auto"/>
        </w:rPr>
      </w:pPr>
    </w:p>
    <w:p>
      <w:pPr>
        <w:ind w:left="760"/>
        <w:spacing w:after="0" w:line="281" w:lineRule="auto"/>
        <w:rPr>
          <w:sz w:val="20"/>
          <w:szCs w:val="20"/>
          <w:color w:val="auto"/>
        </w:rPr>
      </w:pPr>
      <w:r>
        <w:rPr>
          <w:rFonts w:ascii="Arial" w:cs="Arial" w:eastAsia="Arial" w:hAnsi="Arial"/>
          <w:sz w:val="18"/>
          <w:szCs w:val="18"/>
          <w:b w:val="1"/>
          <w:bCs w:val="1"/>
          <w:color w:val="auto"/>
        </w:rPr>
        <w:t xml:space="preserve">Financial Condition, Liquidity and Capital Resources: </w:t>
      </w:r>
      <w:r>
        <w:rPr>
          <w:rFonts w:ascii="Arial" w:cs="Arial" w:eastAsia="Arial" w:hAnsi="Arial"/>
          <w:sz w:val="18"/>
          <w:szCs w:val="18"/>
          <w:color w:val="auto"/>
        </w:rPr>
        <w:t>a discussion of our major sources and uses of cash as well as an analysis of our cash</w:t>
      </w:r>
      <w:r>
        <w:rPr>
          <w:rFonts w:ascii="Arial" w:cs="Arial" w:eastAsia="Arial" w:hAnsi="Arial"/>
          <w:sz w:val="18"/>
          <w:szCs w:val="18"/>
          <w:b w:val="1"/>
          <w:bCs w:val="1"/>
          <w:color w:val="auto"/>
        </w:rPr>
        <w:t xml:space="preserve"> </w:t>
      </w:r>
      <w:r>
        <w:rPr>
          <w:rFonts w:ascii="Arial" w:cs="Arial" w:eastAsia="Arial" w:hAnsi="Arial"/>
          <w:sz w:val="18"/>
          <w:szCs w:val="18"/>
          <w:color w:val="auto"/>
        </w:rPr>
        <w:t>flows and certain contractual obligations and commercial commitments</w:t>
      </w:r>
    </w:p>
    <w:p>
      <w:pPr>
        <w:spacing w:after="0" w:line="3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Business</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Yellow Corporation is a holding company that, through its operating subsidiaries, offers our customers a wide range of transportation services. The Company has one of the largest, most comprehensive LTL networks in North America with local, regional, national and international capabilities. Through its team of experienced service professionals, the Company offers industry-leading expertise in LTL shipments and flexible supply chain solutions, ensuring customers can ship industrial, commercial and retail goods with confidence.</w:t>
      </w:r>
    </w:p>
    <w:p>
      <w:pPr>
        <w:spacing w:after="0" w:line="145" w:lineRule="exact"/>
        <w:rPr>
          <w:sz w:val="20"/>
          <w:szCs w:val="20"/>
          <w:color w:val="auto"/>
        </w:rPr>
      </w:pPr>
    </w:p>
    <w:p>
      <w:pPr>
        <w:jc w:val="both"/>
        <w:ind w:right="20"/>
        <w:spacing w:after="0" w:line="307" w:lineRule="auto"/>
        <w:rPr>
          <w:sz w:val="20"/>
          <w:szCs w:val="20"/>
          <w:color w:val="auto"/>
        </w:rPr>
      </w:pPr>
      <w:r>
        <w:rPr>
          <w:rFonts w:ascii="Arial" w:cs="Arial" w:eastAsia="Arial" w:hAnsi="Arial"/>
          <w:sz w:val="17"/>
          <w:szCs w:val="17"/>
          <w:color w:val="auto"/>
        </w:rPr>
        <w:t>We measure the performance of our business using several metrics, but rely primarily upon (without limitation) operating revenue, operating income (loss), and operating ratio. We also use certain non-GAAP financial measures as secondary measures to assess our operating performance.</w:t>
      </w:r>
    </w:p>
    <w:p>
      <w:pPr>
        <w:spacing w:after="0" w:line="143" w:lineRule="exact"/>
        <w:rPr>
          <w:sz w:val="20"/>
          <w:szCs w:val="20"/>
          <w:color w:val="auto"/>
        </w:rPr>
      </w:pPr>
    </w:p>
    <w:p>
      <w:pPr>
        <w:jc w:val="both"/>
        <w:ind w:left="760" w:hanging="378"/>
        <w:spacing w:after="0" w:line="269" w:lineRule="auto"/>
        <w:tabs>
          <w:tab w:leader="none" w:pos="760" w:val="left"/>
        </w:tabs>
        <w:numPr>
          <w:ilvl w:val="0"/>
          <w:numId w:val="11"/>
        </w:numPr>
        <w:rPr>
          <w:rFonts w:ascii="Arial" w:cs="Arial" w:eastAsia="Arial" w:hAnsi="Arial"/>
          <w:sz w:val="17"/>
          <w:szCs w:val="17"/>
          <w:color w:val="auto"/>
        </w:rPr>
      </w:pPr>
      <w:r>
        <w:rPr>
          <w:rFonts w:ascii="Arial" w:cs="Arial" w:eastAsia="Arial" w:hAnsi="Arial"/>
          <w:sz w:val="17"/>
          <w:szCs w:val="17"/>
          <w:b w:val="1"/>
          <w:bCs w:val="1"/>
          <w:color w:val="auto"/>
        </w:rPr>
        <w:t xml:space="preserve">Operating Revenue: </w:t>
      </w:r>
      <w:r>
        <w:rPr>
          <w:rFonts w:ascii="Arial" w:cs="Arial" w:eastAsia="Arial" w:hAnsi="Arial"/>
          <w:sz w:val="17"/>
          <w:szCs w:val="17"/>
          <w:color w:val="auto"/>
        </w:rPr>
        <w:t>Our operating revenue has two primary components: volume (commonly evaluated using tonnage, tonnage per day,</w:t>
      </w:r>
      <w:r>
        <w:rPr>
          <w:rFonts w:ascii="Arial" w:cs="Arial" w:eastAsia="Arial" w:hAnsi="Arial"/>
          <w:sz w:val="17"/>
          <w:szCs w:val="17"/>
          <w:b w:val="1"/>
          <w:bCs w:val="1"/>
          <w:color w:val="auto"/>
        </w:rPr>
        <w:t xml:space="preserve"> </w:t>
      </w:r>
      <w:r>
        <w:rPr>
          <w:rFonts w:ascii="Arial" w:cs="Arial" w:eastAsia="Arial" w:hAnsi="Arial"/>
          <w:sz w:val="17"/>
          <w:szCs w:val="17"/>
          <w:color w:val="auto"/>
        </w:rPr>
        <w:t>number of shipments, shipments per day or weight per shipment) and yield or price (commonly evaluated using picked up revenue, revenue per hundredweight or revenue per shipment). Yield includes fuel surcharge revenue, which is common in the trucking industry and represents an amount charged to customers that adjusts with changing fuel prices. We base our fuel surcharges on the U.S. Department of Energy fuel index and adjust them weekly. Rapid material changes in the index or our cost of fuel can positively or negatively impact our revenue and operating income as a result of changes in our fuel surcharge. We believe that fuel surcharge is an accepted and important component of the overall pricing of our services to our customers. Without an industry-accepted fuel surcharge program, our base pricing for our transportation services would require changes. We believe the distinction between base rates and fuel surcharge has diminished over time, and it is impractical to clearly separate all the different factors that influence the price that our customers are willing to pay. In general, under our present fuel surcharge program, we believe rising fuel costs are beneficial to us and falling fuel costs are detrimental to us in the short term, the effects of which are mitigated over time.</w:t>
      </w:r>
    </w:p>
    <w:p>
      <w:pPr>
        <w:spacing w:after="0" w:line="151" w:lineRule="exact"/>
        <w:rPr>
          <w:rFonts w:ascii="Arial" w:cs="Arial" w:eastAsia="Arial" w:hAnsi="Arial"/>
          <w:sz w:val="17"/>
          <w:szCs w:val="17"/>
          <w:color w:val="auto"/>
        </w:rPr>
      </w:pPr>
    </w:p>
    <w:p>
      <w:pPr>
        <w:ind w:left="760" w:hanging="37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Operating Income (Loss): </w:t>
      </w:r>
      <w:r>
        <w:rPr>
          <w:rFonts w:ascii="Arial" w:cs="Arial" w:eastAsia="Arial" w:hAnsi="Arial"/>
          <w:sz w:val="18"/>
          <w:szCs w:val="18"/>
          <w:color w:val="auto"/>
        </w:rPr>
        <w:t>Operating income (loss) is operating revenue less operating expenses.</w:t>
      </w:r>
    </w:p>
    <w:p>
      <w:pPr>
        <w:spacing w:after="0" w:line="184" w:lineRule="exact"/>
        <w:rPr>
          <w:rFonts w:ascii="Arial" w:cs="Arial" w:eastAsia="Arial" w:hAnsi="Arial"/>
          <w:sz w:val="18"/>
          <w:szCs w:val="18"/>
          <w:color w:val="auto"/>
        </w:rPr>
      </w:pPr>
    </w:p>
    <w:p>
      <w:pPr>
        <w:jc w:val="both"/>
        <w:ind w:left="760" w:hanging="378"/>
        <w:spacing w:after="0" w:line="265"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Operating Ratio: </w:t>
      </w:r>
      <w:r>
        <w:rPr>
          <w:rFonts w:ascii="Arial" w:cs="Arial" w:eastAsia="Arial" w:hAnsi="Arial"/>
          <w:sz w:val="18"/>
          <w:szCs w:val="18"/>
          <w:color w:val="auto"/>
        </w:rPr>
        <w:t>Operating ratio is a common operating performance measure used in the trucking industry. It is calculated as (i) 100 percent</w:t>
      </w:r>
      <w:r>
        <w:rPr>
          <w:rFonts w:ascii="Arial" w:cs="Arial" w:eastAsia="Arial" w:hAnsi="Arial"/>
          <w:sz w:val="18"/>
          <w:szCs w:val="18"/>
          <w:b w:val="1"/>
          <w:bCs w:val="1"/>
          <w:color w:val="auto"/>
        </w:rPr>
        <w:t xml:space="preserve"> </w:t>
      </w:r>
      <w:r>
        <w:rPr>
          <w:rFonts w:ascii="Arial" w:cs="Arial" w:eastAsia="Arial" w:hAnsi="Arial"/>
          <w:sz w:val="18"/>
          <w:szCs w:val="18"/>
          <w:color w:val="auto"/>
        </w:rPr>
        <w:t>(ii) minus the result of dividing operating income by operating revenue or (iii) plus the result of dividing operating loss by operating revenue, and is expressed as a percentage.</w:t>
      </w:r>
    </w:p>
    <w:p>
      <w:pPr>
        <w:spacing w:after="0" w:line="136" w:lineRule="exact"/>
        <w:rPr>
          <w:rFonts w:ascii="Arial" w:cs="Arial" w:eastAsia="Arial" w:hAnsi="Arial"/>
          <w:sz w:val="18"/>
          <w:szCs w:val="18"/>
          <w:color w:val="auto"/>
        </w:rPr>
      </w:pPr>
    </w:p>
    <w:p>
      <w:pPr>
        <w:ind w:left="760" w:hanging="378"/>
        <w:spacing w:after="0"/>
        <w:tabs>
          <w:tab w:leader="none" w:pos="760"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 xml:space="preserve">Non-GAAP Financial Measures: </w:t>
      </w:r>
      <w:r>
        <w:rPr>
          <w:rFonts w:ascii="Arial" w:cs="Arial" w:eastAsia="Arial" w:hAnsi="Arial"/>
          <w:sz w:val="16"/>
          <w:szCs w:val="16"/>
          <w:color w:val="auto"/>
        </w:rPr>
        <w:t>We use EBITDA and Adjusted EBITDA, which are non-GAAP financial measures, to assess the following:</w:t>
      </w:r>
    </w:p>
    <w:p>
      <w:pPr>
        <w:spacing w:after="0" w:line="224" w:lineRule="exact"/>
        <w:rPr>
          <w:rFonts w:ascii="Arial" w:cs="Arial" w:eastAsia="Arial" w:hAnsi="Arial"/>
          <w:sz w:val="16"/>
          <w:szCs w:val="16"/>
          <w:color w:val="auto"/>
        </w:rPr>
      </w:pPr>
    </w:p>
    <w:p>
      <w:pPr>
        <w:ind w:left="1140" w:hanging="374"/>
        <w:spacing w:after="0" w:line="277" w:lineRule="auto"/>
        <w:rPr>
          <w:rFonts w:ascii="Arial" w:cs="Arial" w:eastAsia="Arial" w:hAnsi="Arial"/>
          <w:sz w:val="16"/>
          <w:szCs w:val="16"/>
          <w:color w:val="auto"/>
        </w:rPr>
      </w:pPr>
      <w:r>
        <w:rPr>
          <w:rFonts w:ascii="Arial" w:cs="Arial" w:eastAsia="Arial" w:hAnsi="Arial"/>
          <w:sz w:val="18"/>
          <w:szCs w:val="18"/>
          <w:color w:val="auto"/>
        </w:rPr>
        <w:t xml:space="preserve">o </w:t>
      </w:r>
      <w:r>
        <w:rPr>
          <w:rFonts w:ascii="Arial" w:cs="Arial" w:eastAsia="Arial" w:hAnsi="Arial"/>
          <w:sz w:val="18"/>
          <w:szCs w:val="18"/>
          <w:i w:val="1"/>
          <w:iCs w:val="1"/>
          <w:color w:val="auto"/>
        </w:rPr>
        <w:t>EBITDA:</w:t>
      </w:r>
      <w:r>
        <w:rPr>
          <w:rFonts w:ascii="Arial" w:cs="Arial" w:eastAsia="Arial" w:hAnsi="Arial"/>
          <w:sz w:val="18"/>
          <w:szCs w:val="18"/>
          <w:color w:val="auto"/>
        </w:rPr>
        <w:t xml:space="preserve"> a non-GAAP measure that reflects our earnings before interest, taxes, depreciation, and amortization expense. EBITDA is used for internal management purposes as a financial measure that reflects our core operating performance.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21" w:name="page22"/>
    <w:bookmarkEnd w:id="21"/>
    <w:p>
      <w:pPr>
        <w:jc w:val="both"/>
        <w:ind w:left="1140" w:hanging="383"/>
        <w:spacing w:after="0" w:line="268" w:lineRule="auto"/>
        <w:tabs>
          <w:tab w:leader="none" w:pos="114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 xml:space="preserve">Adjusted EBITDA: </w:t>
      </w:r>
      <w:r>
        <w:rPr>
          <w:rFonts w:ascii="Arial" w:cs="Arial" w:eastAsia="Arial" w:hAnsi="Arial"/>
          <w:sz w:val="17"/>
          <w:szCs w:val="17"/>
          <w:color w:val="auto"/>
        </w:rPr>
        <w:t>a non-GAAP measure that reflects EBITDA, and further adjusts for letter of credit fees, equity-based compensation</w:t>
      </w:r>
      <w:r>
        <w:rPr>
          <w:rFonts w:ascii="Arial" w:cs="Arial" w:eastAsia="Arial" w:hAnsi="Arial"/>
          <w:sz w:val="17"/>
          <w:szCs w:val="17"/>
          <w:i w:val="1"/>
          <w:iCs w:val="1"/>
          <w:color w:val="auto"/>
        </w:rPr>
        <w:t xml:space="preserve"> </w:t>
      </w:r>
      <w:r>
        <w:rPr>
          <w:rFonts w:ascii="Arial" w:cs="Arial" w:eastAsia="Arial" w:hAnsi="Arial"/>
          <w:sz w:val="17"/>
          <w:szCs w:val="17"/>
          <w:color w:val="auto"/>
        </w:rPr>
        <w:t>expense, net gains or losses on property disposals, restructuring charges, transaction costs related to issuances of debt, non-recurring consulting fees, non-cash impairment charges and the gains or losses from permitted dispositions, discontinued operations, and certain non-cash expenses, charges and losses (provided that if any of such non-cash expenses, charges or losses represents an accrual or reserve for potential cash items in any future period, the cash payment in respect thereof in such future period will be subtracted from Adjusted EBITDA in such future period to the extent paid). All references to “Adjusted EBITDA” throughout this section and the rest of this report refer to “Adjusted EBITDA” calculated under our UST Credit Agreements and the Term Loan Agreement, as amended, (collectively, the TL Agreements) (defined therein as “Consolidated EBITDA”) unless otherwise specified. Consolidated EBITDA is also a defined term in our ABL Facility and the definition there aligns with the prior definition of Consolidated EBITDA under the Prior Term Loan Agreement (defined in the Notes to Consolidated Financial Statements). Adjusted EBITDA is used for internal management purposes as a financial measure that reflects our core operating performance, to measure compliance with financial covenants in our TL Agreements and to determine certain management and employee bonus compensation.</w:t>
      </w:r>
    </w:p>
    <w:p>
      <w:pPr>
        <w:spacing w:after="0" w:line="158" w:lineRule="exact"/>
        <w:rPr>
          <w:sz w:val="20"/>
          <w:szCs w:val="20"/>
          <w:color w:val="auto"/>
        </w:rPr>
      </w:pPr>
    </w:p>
    <w:p>
      <w:pPr>
        <w:jc w:val="both"/>
        <w:ind w:left="760"/>
        <w:spacing w:after="0" w:line="293" w:lineRule="auto"/>
        <w:rPr>
          <w:sz w:val="20"/>
          <w:szCs w:val="20"/>
          <w:color w:val="auto"/>
        </w:rPr>
      </w:pPr>
      <w:r>
        <w:rPr>
          <w:rFonts w:ascii="Arial" w:cs="Arial" w:eastAsia="Arial" w:hAnsi="Arial"/>
          <w:sz w:val="16"/>
          <w:szCs w:val="16"/>
          <w:color w:val="auto"/>
        </w:rPr>
        <w:t>We believe our presentation of EBITDA and Adjusted EBITDA is useful to investors and other users as these measures represent key supplemental information our management uses to compare and evaluate our core underlying business results, particularly in light of our leverage position and the capital-intensive nature of our business. Further, EBITDA is a measure that is commonly used by other companies in our industry and provides a comparison for investors to evaluate the performance of the companies in the industry. Additionally, Adjusted EBITDA helps investors to understand how the company is tracking against our financial covenants in our TL Agreements as this measure is calculated as defined in our TL Agreements and serves as a driving component of our key financial covenants.</w:t>
      </w:r>
    </w:p>
    <w:p>
      <w:pPr>
        <w:spacing w:after="0" w:line="12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Our non-GAAP financial measures have the following limitations:</w:t>
      </w:r>
    </w:p>
    <w:p>
      <w:pPr>
        <w:spacing w:after="0" w:line="184" w:lineRule="exact"/>
        <w:rPr>
          <w:sz w:val="20"/>
          <w:szCs w:val="20"/>
          <w:color w:val="auto"/>
        </w:rPr>
      </w:pPr>
    </w:p>
    <w:p>
      <w:pPr>
        <w:ind w:left="1140" w:hanging="383"/>
        <w:spacing w:after="0" w:line="277" w:lineRule="auto"/>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EBITDA does not reflect the interest expense or the cash requirements necessary to service interest or fund principal payments on our outstanding debt;</w:t>
      </w:r>
    </w:p>
    <w:p>
      <w:pPr>
        <w:spacing w:after="0" w:line="142" w:lineRule="exact"/>
        <w:rPr>
          <w:rFonts w:ascii="Arial" w:cs="Arial" w:eastAsia="Arial" w:hAnsi="Arial"/>
          <w:sz w:val="18"/>
          <w:szCs w:val="18"/>
          <w:color w:val="auto"/>
        </w:rPr>
      </w:pPr>
    </w:p>
    <w:p>
      <w:pPr>
        <w:jc w:val="both"/>
        <w:ind w:left="1140" w:hanging="383"/>
        <w:spacing w:after="0" w:line="263" w:lineRule="auto"/>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Adjusted EBITDA does not reflect the interest expense or the cash requirements necessary to service interest or fund principal payments on our outstanding debt, letter of credit fees, restructuring charges, transaction costs related to the issuance of debt, non-cash expenses, charges or losses, or nonrecurring consulting fees, among other items;</w:t>
      </w:r>
    </w:p>
    <w:p>
      <w:pPr>
        <w:spacing w:after="0" w:line="142" w:lineRule="exact"/>
        <w:rPr>
          <w:rFonts w:ascii="Arial" w:cs="Arial" w:eastAsia="Arial" w:hAnsi="Arial"/>
          <w:sz w:val="18"/>
          <w:szCs w:val="18"/>
          <w:color w:val="auto"/>
        </w:rPr>
      </w:pPr>
    </w:p>
    <w:p>
      <w:pPr>
        <w:ind w:left="1140" w:hanging="383"/>
        <w:spacing w:after="0" w:line="277" w:lineRule="auto"/>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generally need to be replaced in the future and EBITDA and Adjusted EBITDA do not reflect any cash requirements for such replacements;</w:t>
      </w:r>
    </w:p>
    <w:p>
      <w:pPr>
        <w:spacing w:after="0" w:line="128" w:lineRule="exact"/>
        <w:rPr>
          <w:rFonts w:ascii="Arial" w:cs="Arial" w:eastAsia="Arial" w:hAnsi="Arial"/>
          <w:sz w:val="18"/>
          <w:szCs w:val="18"/>
          <w:color w:val="auto"/>
        </w:rPr>
      </w:pPr>
    </w:p>
    <w:p>
      <w:pPr>
        <w:ind w:left="1140" w:hanging="383"/>
        <w:spacing w:after="0" w:line="307" w:lineRule="auto"/>
        <w:tabs>
          <w:tab w:leader="none" w:pos="11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Equity-based compensation is an element of our long-term incentive compensation package, although Adjusted EBITDA excludes employee equity-based compensation expense when presenting our ongoing operating performance for a particular period; and</w:t>
      </w:r>
    </w:p>
    <w:p>
      <w:pPr>
        <w:spacing w:after="0" w:line="120" w:lineRule="exact"/>
        <w:rPr>
          <w:rFonts w:ascii="Arial" w:cs="Arial" w:eastAsia="Arial" w:hAnsi="Arial"/>
          <w:sz w:val="17"/>
          <w:szCs w:val="17"/>
          <w:color w:val="auto"/>
        </w:rPr>
      </w:pPr>
    </w:p>
    <w:p>
      <w:pPr>
        <w:ind w:left="1140" w:right="20" w:hanging="383"/>
        <w:spacing w:after="0" w:line="277" w:lineRule="auto"/>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companies in our industry may calculate Adjusted EBITDA differently than we do, potentially limiting its usefulness as a comparative measure.</w:t>
      </w:r>
    </w:p>
    <w:p>
      <w:pPr>
        <w:spacing w:after="0" w:line="129" w:lineRule="exact"/>
        <w:rPr>
          <w:sz w:val="20"/>
          <w:szCs w:val="20"/>
          <w:color w:val="auto"/>
        </w:rPr>
      </w:pPr>
    </w:p>
    <w:p>
      <w:pPr>
        <w:jc w:val="both"/>
        <w:spacing w:after="0" w:line="307" w:lineRule="auto"/>
        <w:rPr>
          <w:sz w:val="20"/>
          <w:szCs w:val="20"/>
          <w:color w:val="auto"/>
        </w:rPr>
      </w:pPr>
      <w:r>
        <w:rPr>
          <w:rFonts w:ascii="Arial" w:cs="Arial" w:eastAsia="Arial" w:hAnsi="Arial"/>
          <w:sz w:val="17"/>
          <w:szCs w:val="17"/>
          <w:color w:val="auto"/>
        </w:rPr>
        <w:t>Because of these limitations, our non-GAAP measures should not be considered a substitute for performance measures calculated in accordance with GAAP. We compensate for these limitations by relying primarily on our GAAP results and use our non-GAAP measures as secondary measures.</w:t>
      </w:r>
    </w:p>
    <w:p>
      <w:pPr>
        <w:spacing w:after="0" w:line="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 Strategy Overview</w:t>
      </w:r>
    </w:p>
    <w:p>
      <w:pPr>
        <w:spacing w:after="0" w:line="19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strategy remains focused on providing exemplary super-regional service as we near completion of our multi-year enterprise transformation to optimize and structurally improve our network that includes more than 300 strategically located terminals throughout North America. The transformation is expected to increase asset utilization, enhance network efficiencies, create cost savings and leverage operational flexibilities gained with our 2019 labor agreement, consolidate disparate company systems onto a single platform and rationalize the more than 300 physical locations in the network while maintaining geographic coverage. The result will be to operate Yellow as one company, one network, under one Yellow brand.</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completed our LTL companies’ migration to a common technology platform in early 2022, and our focus transitioned to the integration of our four disparate linehaul networks into a single national network. The combination of our four individual linehaul networks currently tied to our legacy national and regional carrier brands will result in greater density as freight moves throughout our network from origin to destination terminals. Also, the local terminal pickup and delivery optimization efforts will eliminate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2" w:name="page23"/>
    <w:bookmarkEnd w:id="22"/>
    <w:p>
      <w:pPr>
        <w:jc w:val="both"/>
        <w:ind w:right="100"/>
        <w:spacing w:after="0" w:line="273" w:lineRule="auto"/>
        <w:rPr>
          <w:sz w:val="20"/>
          <w:szCs w:val="20"/>
          <w:color w:val="auto"/>
        </w:rPr>
      </w:pPr>
      <w:r>
        <w:rPr>
          <w:rFonts w:ascii="Arial" w:cs="Arial" w:eastAsia="Arial" w:hAnsi="Arial"/>
          <w:sz w:val="17"/>
          <w:szCs w:val="17"/>
          <w:color w:val="auto"/>
        </w:rPr>
        <w:t>the overlapping coverage and customer interactions that currently exist between our legacy national and regional carrier brands. When completed, this operational transformation will result in enhanced customer service, cost savings opportunities from reduced miles and productivity gains, and will create additional capacity without adding incremental physical infrastructure. In September, we successfully implemented phase one of the network optimization in the western U.S. Phase one included integrating 89 legacy YRC Freight and Reddaway terminals, and the results are meeting our expectations as customers are benefitting by having one driver pick-up and deliver both regional and long-haul shipments. We remain focused on applying lessons learned from phase one and completing the network optimization in 2023.</w:t>
      </w:r>
    </w:p>
    <w:p>
      <w:pPr>
        <w:spacing w:after="0" w:line="149"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Capital investment remains a top priority for us and we remain committed to investing in our fleet, and in technology solutions that enhance our customers’ experience and improve our operational flexibility and efficiencies.</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Consolidated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Compared to 2021</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provides summary consolidated financial information and amounts as a percentage of operating revenue for the years ended December 31:</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Percent Change</w:t>
            </w:r>
          </w:p>
        </w:tc>
      </w:tr>
      <w:tr>
        <w:trPr>
          <w:trHeight w:val="218"/>
        </w:trPr>
        <w:tc>
          <w:tcPr>
            <w:tcW w:w="5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2022</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2021</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2022 vs. 2021</w:t>
            </w:r>
          </w:p>
        </w:tc>
      </w:tr>
      <w:tr>
        <w:trPr>
          <w:trHeight w:val="169"/>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w:t>
            </w:r>
          </w:p>
        </w:tc>
        <w:tc>
          <w:tcPr>
            <w:tcW w:w="30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w:t>
            </w:r>
          </w:p>
        </w:tc>
        <w:tc>
          <w:tcPr>
            <w:tcW w:w="2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1280" w:type="dxa"/>
            <w:vAlign w:val="bottom"/>
            <w:tcBorders>
              <w:top w:val="single" w:sz="8" w:color="auto"/>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r>
      <w:tr>
        <w:trPr>
          <w:trHeight w:val="228"/>
        </w:trPr>
        <w:tc>
          <w:tcPr>
            <w:tcW w:w="5100" w:type="dxa"/>
            <w:vAlign w:val="bottom"/>
          </w:tcPr>
          <w:p>
            <w:pPr>
              <w:ind w:left="20"/>
              <w:spacing w:after="0"/>
              <w:rPr>
                <w:sz w:val="20"/>
                <w:szCs w:val="20"/>
                <w:color w:val="auto"/>
              </w:rPr>
            </w:pPr>
            <w:r>
              <w:rPr>
                <w:rFonts w:ascii="Arial" w:cs="Arial" w:eastAsia="Arial" w:hAnsi="Arial"/>
                <w:sz w:val="18"/>
                <w:szCs w:val="18"/>
                <w:b w:val="1"/>
                <w:bCs w:val="1"/>
                <w:color w:val="auto"/>
              </w:rPr>
              <w:t>Operating Revenue</w:t>
            </w:r>
          </w:p>
        </w:tc>
        <w:tc>
          <w:tcPr>
            <w:tcW w:w="1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5,244.7</w:t>
            </w:r>
          </w:p>
        </w:tc>
        <w:tc>
          <w:tcPr>
            <w:tcW w:w="300" w:type="dxa"/>
            <w:vAlign w:val="bottom"/>
          </w:tcPr>
          <w:p>
            <w:pPr>
              <w:spacing w:after="0"/>
              <w:rPr>
                <w:sz w:val="19"/>
                <w:szCs w:val="19"/>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100.0</w:t>
            </w:r>
          </w:p>
        </w:tc>
        <w:tc>
          <w:tcPr>
            <w:tcW w:w="16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5,121.8</w:t>
            </w:r>
          </w:p>
        </w:tc>
        <w:tc>
          <w:tcPr>
            <w:tcW w:w="280" w:type="dxa"/>
            <w:vAlign w:val="bottom"/>
          </w:tcPr>
          <w:p>
            <w:pPr>
              <w:spacing w:after="0"/>
              <w:rPr>
                <w:sz w:val="19"/>
                <w:szCs w:val="19"/>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2.4 %</w:t>
            </w:r>
          </w:p>
        </w:tc>
      </w:tr>
      <w:tr>
        <w:trPr>
          <w:trHeight w:val="238"/>
        </w:trPr>
        <w:tc>
          <w:tcPr>
            <w:tcW w:w="5240" w:type="dxa"/>
            <w:vAlign w:val="bottom"/>
            <w:gridSpan w:val="2"/>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240" w:type="dxa"/>
            <w:vAlign w:val="bottom"/>
            <w:gridSpan w:val="2"/>
          </w:tcPr>
          <w:p>
            <w:pPr>
              <w:ind w:left="200"/>
              <w:spacing w:after="0"/>
              <w:rPr>
                <w:sz w:val="20"/>
                <w:szCs w:val="20"/>
                <w:color w:val="auto"/>
              </w:rPr>
            </w:pPr>
            <w:r>
              <w:rPr>
                <w:rFonts w:ascii="Arial" w:cs="Arial" w:eastAsia="Arial" w:hAnsi="Arial"/>
                <w:sz w:val="18"/>
                <w:szCs w:val="18"/>
                <w:color w:val="auto"/>
              </w:rPr>
              <w:t>Salaries, wages and employee benefits</w:t>
            </w:r>
          </w:p>
        </w:tc>
        <w:tc>
          <w:tcPr>
            <w:tcW w:w="26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2,808.3</w:t>
            </w:r>
          </w:p>
        </w:tc>
        <w:tc>
          <w:tcPr>
            <w:tcW w:w="30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53.5</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2,921.7</w:t>
            </w:r>
          </w:p>
        </w:tc>
        <w:tc>
          <w:tcPr>
            <w:tcW w:w="28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57.0</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(3.9 )%</w:t>
            </w:r>
          </w:p>
        </w:tc>
      </w:tr>
      <w:tr>
        <w:trPr>
          <w:trHeight w:val="243"/>
        </w:trPr>
        <w:tc>
          <w:tcPr>
            <w:tcW w:w="5240" w:type="dxa"/>
            <w:vAlign w:val="bottom"/>
            <w:gridSpan w:val="2"/>
          </w:tcPr>
          <w:p>
            <w:pPr>
              <w:ind w:left="200"/>
              <w:spacing w:after="0"/>
              <w:rPr>
                <w:sz w:val="20"/>
                <w:szCs w:val="20"/>
                <w:color w:val="auto"/>
              </w:rPr>
            </w:pPr>
            <w:r>
              <w:rPr>
                <w:rFonts w:ascii="Arial" w:cs="Arial" w:eastAsia="Arial" w:hAnsi="Arial"/>
                <w:sz w:val="18"/>
                <w:szCs w:val="18"/>
                <w:color w:val="auto"/>
              </w:rPr>
              <w:t>Fuel, operating expenses and supplies</w:t>
            </w:r>
          </w:p>
        </w:tc>
        <w:tc>
          <w:tcPr>
            <w:tcW w:w="26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1,076.6</w:t>
            </w:r>
          </w:p>
        </w:tc>
        <w:tc>
          <w:tcPr>
            <w:tcW w:w="30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20.5</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858.1</w:t>
            </w:r>
          </w:p>
        </w:tc>
        <w:tc>
          <w:tcPr>
            <w:tcW w:w="28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16.8</w:t>
            </w: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25.5 %</w:t>
            </w:r>
          </w:p>
        </w:tc>
      </w:tr>
      <w:tr>
        <w:trPr>
          <w:trHeight w:val="243"/>
        </w:trPr>
        <w:tc>
          <w:tcPr>
            <w:tcW w:w="5240" w:type="dxa"/>
            <w:vAlign w:val="bottom"/>
            <w:gridSpan w:val="2"/>
          </w:tcPr>
          <w:p>
            <w:pPr>
              <w:ind w:left="200"/>
              <w:spacing w:after="0"/>
              <w:rPr>
                <w:sz w:val="20"/>
                <w:szCs w:val="20"/>
                <w:color w:val="auto"/>
              </w:rPr>
            </w:pPr>
            <w:r>
              <w:rPr>
                <w:rFonts w:ascii="Arial" w:cs="Arial" w:eastAsia="Arial" w:hAnsi="Arial"/>
                <w:sz w:val="18"/>
                <w:szCs w:val="18"/>
                <w:color w:val="auto"/>
              </w:rPr>
              <w:t>Purchased transportation</w:t>
            </w:r>
          </w:p>
        </w:tc>
        <w:tc>
          <w:tcPr>
            <w:tcW w:w="26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748.5</w:t>
            </w:r>
          </w:p>
        </w:tc>
        <w:tc>
          <w:tcPr>
            <w:tcW w:w="30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14.3</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800.2</w:t>
            </w:r>
          </w:p>
        </w:tc>
        <w:tc>
          <w:tcPr>
            <w:tcW w:w="28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15.6</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(6.5 )%</w:t>
            </w:r>
          </w:p>
        </w:tc>
      </w:tr>
      <w:tr>
        <w:trPr>
          <w:trHeight w:val="243"/>
        </w:trPr>
        <w:tc>
          <w:tcPr>
            <w:tcW w:w="5240" w:type="dxa"/>
            <w:vAlign w:val="bottom"/>
            <w:gridSpan w:val="2"/>
          </w:tcPr>
          <w:p>
            <w:pPr>
              <w:ind w:left="20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143.4</w:t>
            </w:r>
          </w:p>
        </w:tc>
        <w:tc>
          <w:tcPr>
            <w:tcW w:w="30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143.6</w:t>
            </w:r>
          </w:p>
        </w:tc>
        <w:tc>
          <w:tcPr>
            <w:tcW w:w="28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2.8</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(0.1 )%</w:t>
            </w:r>
          </w:p>
        </w:tc>
      </w:tr>
      <w:tr>
        <w:trPr>
          <w:trHeight w:val="243"/>
        </w:trPr>
        <w:tc>
          <w:tcPr>
            <w:tcW w:w="5240" w:type="dxa"/>
            <w:vAlign w:val="bottom"/>
            <w:gridSpan w:val="2"/>
          </w:tcPr>
          <w:p>
            <w:pPr>
              <w:ind w:left="200"/>
              <w:spacing w:after="0"/>
              <w:rPr>
                <w:sz w:val="20"/>
                <w:szCs w:val="20"/>
                <w:color w:val="auto"/>
              </w:rPr>
            </w:pPr>
            <w:r>
              <w:rPr>
                <w:rFonts w:ascii="Arial" w:cs="Arial" w:eastAsia="Arial" w:hAnsi="Arial"/>
                <w:sz w:val="18"/>
                <w:szCs w:val="18"/>
                <w:color w:val="auto"/>
              </w:rPr>
              <w:t>Other operating expenses</w:t>
            </w:r>
          </w:p>
        </w:tc>
        <w:tc>
          <w:tcPr>
            <w:tcW w:w="26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308.1</w:t>
            </w:r>
          </w:p>
        </w:tc>
        <w:tc>
          <w:tcPr>
            <w:tcW w:w="30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5.9</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293.9</w:t>
            </w:r>
          </w:p>
        </w:tc>
        <w:tc>
          <w:tcPr>
            <w:tcW w:w="28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5.7</w:t>
            </w: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4.8 %</w:t>
            </w:r>
          </w:p>
        </w:tc>
      </w:tr>
      <w:tr>
        <w:trPr>
          <w:trHeight w:val="256"/>
        </w:trPr>
        <w:tc>
          <w:tcPr>
            <w:tcW w:w="5240" w:type="dxa"/>
            <w:vAlign w:val="bottom"/>
            <w:gridSpan w:val="2"/>
          </w:tcPr>
          <w:p>
            <w:pPr>
              <w:ind w:left="200"/>
              <w:spacing w:after="0"/>
              <w:rPr>
                <w:sz w:val="20"/>
                <w:szCs w:val="20"/>
                <w:color w:val="auto"/>
              </w:rPr>
            </w:pPr>
            <w:r>
              <w:rPr>
                <w:rFonts w:ascii="Arial" w:cs="Arial" w:eastAsia="Arial" w:hAnsi="Arial"/>
                <w:sz w:val="18"/>
                <w:szCs w:val="18"/>
                <w:color w:val="auto"/>
              </w:rPr>
              <w:t>(Gains) Losses on property disposals, net</w:t>
            </w: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(38.0 )</w:t>
            </w:r>
          </w:p>
        </w:tc>
        <w:tc>
          <w:tcPr>
            <w:tcW w:w="3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(0.7 )</w:t>
            </w:r>
          </w:p>
        </w:tc>
        <w:tc>
          <w:tcPr>
            <w:tcW w:w="1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0.7</w:t>
            </w:r>
          </w:p>
        </w:tc>
        <w:tc>
          <w:tcPr>
            <w:tcW w:w="280" w:type="dxa"/>
            <w:vAlign w:val="bottom"/>
          </w:tcPr>
          <w:p>
            <w:pPr>
              <w:spacing w:after="0"/>
              <w:rPr>
                <w:sz w:val="22"/>
                <w:szCs w:val="22"/>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22"/>
                <w:szCs w:val="22"/>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NM*</w:t>
            </w:r>
          </w:p>
        </w:tc>
      </w:tr>
      <w:tr>
        <w:trPr>
          <w:trHeight w:val="236"/>
        </w:trPr>
        <w:tc>
          <w:tcPr>
            <w:tcW w:w="5240" w:type="dxa"/>
            <w:vAlign w:val="bottom"/>
            <w:gridSpan w:val="2"/>
          </w:tcPr>
          <w:p>
            <w:pPr>
              <w:ind w:left="38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5,046.9</w:t>
            </w:r>
          </w:p>
        </w:tc>
        <w:tc>
          <w:tcPr>
            <w:tcW w:w="300" w:type="dxa"/>
            <w:vAlign w:val="bottom"/>
          </w:tcPr>
          <w:p>
            <w:pPr>
              <w:spacing w:after="0"/>
              <w:rPr>
                <w:sz w:val="20"/>
                <w:szCs w:val="20"/>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96.2</w:t>
            </w: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5,018.2</w:t>
            </w:r>
          </w:p>
        </w:tc>
        <w:tc>
          <w:tcPr>
            <w:tcW w:w="280" w:type="dxa"/>
            <w:vAlign w:val="bottom"/>
          </w:tcPr>
          <w:p>
            <w:pPr>
              <w:spacing w:after="0"/>
              <w:rPr>
                <w:sz w:val="20"/>
                <w:szCs w:val="20"/>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98.0</w:t>
            </w: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0.6 %</w:t>
            </w:r>
          </w:p>
        </w:tc>
      </w:tr>
      <w:tr>
        <w:trPr>
          <w:trHeight w:val="236"/>
        </w:trPr>
        <w:tc>
          <w:tcPr>
            <w:tcW w:w="5240" w:type="dxa"/>
            <w:vAlign w:val="bottom"/>
            <w:gridSpan w:val="2"/>
          </w:tcPr>
          <w:p>
            <w:pPr>
              <w:ind w:left="560"/>
              <w:spacing w:after="0"/>
              <w:rPr>
                <w:sz w:val="20"/>
                <w:szCs w:val="20"/>
                <w:color w:val="auto"/>
              </w:rPr>
            </w:pPr>
            <w:r>
              <w:rPr>
                <w:rFonts w:ascii="Arial" w:cs="Arial" w:eastAsia="Arial" w:hAnsi="Arial"/>
                <w:sz w:val="18"/>
                <w:szCs w:val="18"/>
                <w:b w:val="1"/>
                <w:bCs w:val="1"/>
                <w:color w:val="auto"/>
              </w:rPr>
              <w:t>Operating Income</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197.8</w:t>
            </w:r>
          </w:p>
        </w:tc>
        <w:tc>
          <w:tcPr>
            <w:tcW w:w="300" w:type="dxa"/>
            <w:vAlign w:val="bottom"/>
          </w:tcPr>
          <w:p>
            <w:pPr>
              <w:spacing w:after="0"/>
              <w:rPr>
                <w:sz w:val="20"/>
                <w:szCs w:val="20"/>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103.6</w:t>
            </w:r>
          </w:p>
        </w:tc>
        <w:tc>
          <w:tcPr>
            <w:tcW w:w="280" w:type="dxa"/>
            <w:vAlign w:val="bottom"/>
          </w:tcPr>
          <w:p>
            <w:pPr>
              <w:spacing w:after="0"/>
              <w:rPr>
                <w:sz w:val="20"/>
                <w:szCs w:val="20"/>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2.0</w:t>
            </w: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90.9 %</w:t>
            </w:r>
          </w:p>
        </w:tc>
      </w:tr>
      <w:tr>
        <w:trPr>
          <w:trHeight w:val="236"/>
        </w:trPr>
        <w:tc>
          <w:tcPr>
            <w:tcW w:w="5240" w:type="dxa"/>
            <w:vAlign w:val="bottom"/>
            <w:gridSpan w:val="2"/>
            <w:shd w:val="clear" w:color="auto" w:fill="CFF0FC"/>
          </w:tcPr>
          <w:p>
            <w:pPr>
              <w:ind w:left="20"/>
              <w:spacing w:after="0"/>
              <w:rPr>
                <w:sz w:val="20"/>
                <w:szCs w:val="20"/>
                <w:color w:val="auto"/>
              </w:rPr>
            </w:pPr>
            <w:r>
              <w:rPr>
                <w:rFonts w:ascii="Arial" w:cs="Arial" w:eastAsia="Arial" w:hAnsi="Arial"/>
                <w:sz w:val="18"/>
                <w:szCs w:val="18"/>
                <w:b w:val="1"/>
                <w:bCs w:val="1"/>
                <w:color w:val="auto"/>
              </w:rPr>
              <w:t>Nonoperating Expenses:</w:t>
            </w:r>
          </w:p>
        </w:tc>
        <w:tc>
          <w:tcPr>
            <w:tcW w:w="26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240" w:type="dxa"/>
            <w:vAlign w:val="bottom"/>
            <w:gridSpan w:val="2"/>
          </w:tcPr>
          <w:p>
            <w:pPr>
              <w:ind w:left="380"/>
              <w:spacing w:after="0"/>
              <w:rPr>
                <w:sz w:val="20"/>
                <w:szCs w:val="20"/>
                <w:color w:val="auto"/>
              </w:rPr>
            </w:pPr>
            <w:r>
              <w:rPr>
                <w:rFonts w:ascii="Arial" w:cs="Arial" w:eastAsia="Arial" w:hAnsi="Arial"/>
                <w:sz w:val="18"/>
                <w:szCs w:val="18"/>
                <w:color w:val="auto"/>
              </w:rPr>
              <w:t>Nonoperating expenses, net</w:t>
            </w: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171.3</w:t>
            </w:r>
          </w:p>
        </w:tc>
        <w:tc>
          <w:tcPr>
            <w:tcW w:w="30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209.6</w:t>
            </w:r>
          </w:p>
        </w:tc>
        <w:tc>
          <w:tcPr>
            <w:tcW w:w="28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4.1</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(18.3 )%</w:t>
            </w:r>
          </w:p>
        </w:tc>
      </w:tr>
      <w:tr>
        <w:trPr>
          <w:trHeight w:val="236"/>
        </w:trPr>
        <w:tc>
          <w:tcPr>
            <w:tcW w:w="52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Income (Loss) before income taxes</w:t>
            </w:r>
          </w:p>
        </w:tc>
        <w:tc>
          <w:tcPr>
            <w:tcW w:w="260" w:type="dxa"/>
            <w:vAlign w:val="bottom"/>
            <w:shd w:val="clear" w:color="auto" w:fill="CFF0FC"/>
          </w:tcPr>
          <w:p>
            <w:pPr>
              <w:spacing w:after="0"/>
              <w:rPr>
                <w:sz w:val="20"/>
                <w:szCs w:val="20"/>
                <w:color w:val="auto"/>
              </w:rPr>
            </w:pPr>
          </w:p>
        </w:tc>
        <w:tc>
          <w:tcPr>
            <w:tcW w:w="8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26.5</w:t>
            </w:r>
          </w:p>
        </w:tc>
        <w:tc>
          <w:tcPr>
            <w:tcW w:w="300" w:type="dxa"/>
            <w:vAlign w:val="bottom"/>
            <w:shd w:val="clear" w:color="auto" w:fill="CFF0FC"/>
          </w:tcPr>
          <w:p>
            <w:pPr>
              <w:spacing w:after="0"/>
              <w:rPr>
                <w:sz w:val="20"/>
                <w:szCs w:val="20"/>
                <w:color w:val="auto"/>
              </w:rPr>
            </w:pP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0.5</w:t>
            </w:r>
          </w:p>
        </w:tc>
        <w:tc>
          <w:tcPr>
            <w:tcW w:w="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(106.0 )</w:t>
            </w:r>
          </w:p>
        </w:tc>
        <w:tc>
          <w:tcPr>
            <w:tcW w:w="28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(2.1 )</w:t>
            </w:r>
          </w:p>
        </w:tc>
        <w:tc>
          <w:tcPr>
            <w:tcW w:w="10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NM*</w:t>
            </w:r>
          </w:p>
        </w:tc>
        <w:tc>
          <w:tcPr>
            <w:tcW w:w="100" w:type="dxa"/>
            <w:vAlign w:val="bottom"/>
          </w:tcPr>
          <w:p>
            <w:pPr>
              <w:spacing w:after="0"/>
              <w:rPr>
                <w:sz w:val="20"/>
                <w:szCs w:val="20"/>
                <w:color w:val="auto"/>
              </w:rPr>
            </w:pPr>
          </w:p>
        </w:tc>
      </w:tr>
      <w:tr>
        <w:trPr>
          <w:trHeight w:val="243"/>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4.7</w:t>
            </w:r>
          </w:p>
        </w:tc>
        <w:tc>
          <w:tcPr>
            <w:tcW w:w="30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0.1</w:t>
            </w: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51.6 %</w:t>
            </w:r>
          </w:p>
        </w:tc>
      </w:tr>
      <w:tr>
        <w:trPr>
          <w:trHeight w:val="276"/>
        </w:trPr>
        <w:tc>
          <w:tcPr>
            <w:tcW w:w="524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8"/>
                <w:szCs w:val="18"/>
                <w:b w:val="1"/>
                <w:bCs w:val="1"/>
                <w:color w:val="auto"/>
              </w:rPr>
              <w:t>Net Income (Loss)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21.8</w:t>
            </w:r>
          </w:p>
        </w:tc>
        <w:tc>
          <w:tcPr>
            <w:tcW w:w="30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jc w:val="right"/>
              <w:ind w:right="31"/>
              <w:spacing w:after="0"/>
              <w:rPr>
                <w:sz w:val="20"/>
                <w:szCs w:val="20"/>
                <w:color w:val="auto"/>
              </w:rPr>
            </w:pPr>
            <w:r>
              <w:rPr>
                <w:rFonts w:ascii="Arial" w:cs="Arial" w:eastAsia="Arial" w:hAnsi="Arial"/>
                <w:sz w:val="18"/>
                <w:szCs w:val="18"/>
                <w:color w:val="auto"/>
              </w:rPr>
              <w:t>0.4</w:t>
            </w:r>
          </w:p>
        </w:tc>
        <w:tc>
          <w:tcPr>
            <w:tcW w:w="1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(109.1 )</w:t>
            </w:r>
          </w:p>
        </w:tc>
        <w:tc>
          <w:tcPr>
            <w:tcW w:w="28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Borders>
              <w:bottom w:val="single" w:sz="8" w:color="CFF0FC"/>
            </w:tcBorders>
            <w:shd w:val="clear" w:color="auto" w:fill="CFF0FC"/>
          </w:tcPr>
          <w:p>
            <w:pPr>
              <w:spacing w:after="0"/>
              <w:rPr>
                <w:sz w:val="24"/>
                <w:szCs w:val="24"/>
                <w:color w:val="auto"/>
              </w:rPr>
            </w:pPr>
          </w:p>
        </w:tc>
        <w:tc>
          <w:tcPr>
            <w:tcW w:w="1280" w:type="dxa"/>
            <w:vAlign w:val="bottom"/>
            <w:tcBorders>
              <w:bottom w:val="single" w:sz="8" w:color="CFF0FC"/>
            </w:tcBorders>
            <w:shd w:val="clear" w:color="auto" w:fill="CFF0FC"/>
          </w:tcPr>
          <w:p>
            <w:pPr>
              <w:jc w:val="right"/>
              <w:ind w:right="38"/>
              <w:spacing w:after="0"/>
              <w:rPr>
                <w:sz w:val="20"/>
                <w:szCs w:val="20"/>
                <w:color w:val="auto"/>
              </w:rPr>
            </w:pPr>
            <w:r>
              <w:rPr>
                <w:rFonts w:ascii="Arial" w:cs="Arial" w:eastAsia="Arial" w:hAnsi="Arial"/>
                <w:sz w:val="18"/>
                <w:szCs w:val="18"/>
                <w:color w:val="auto"/>
              </w:rPr>
              <w:t>NM*</w:t>
            </w: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-2379980</wp:posOffset>
            </wp:positionV>
            <wp:extent cx="7132320"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-2071370</wp:posOffset>
            </wp:positionV>
            <wp:extent cx="7132320"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-1763395</wp:posOffset>
            </wp:positionV>
            <wp:extent cx="7132320"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-1454785</wp:posOffset>
            </wp:positionV>
            <wp:extent cx="7132320"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-1137920</wp:posOffset>
            </wp:positionV>
            <wp:extent cx="7132320" cy="3251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325120"/>
                    </a:xfrm>
                    <a:prstGeom prst="rect">
                      <a:avLst/>
                    </a:prstGeom>
                    <a:noFill/>
                  </pic:spPr>
                </pic:pic>
              </a:graphicData>
            </a:graphic>
          </wp:anchor>
        </w:drawing>
        <w:drawing>
          <wp:anchor simplePos="0" relativeHeight="251657728" behindDoc="1" locked="0" layoutInCell="0" allowOverlap="1">
            <wp:simplePos x="0" y="0"/>
            <wp:positionH relativeFrom="column">
              <wp:posOffset>4029075</wp:posOffset>
            </wp:positionH>
            <wp:positionV relativeFrom="paragraph">
              <wp:posOffset>-24765</wp:posOffset>
            </wp:positionV>
            <wp:extent cx="768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4029075</wp:posOffset>
            </wp:positionH>
            <wp:positionV relativeFrom="paragraph">
              <wp:posOffset>-7620</wp:posOffset>
            </wp:positionV>
            <wp:extent cx="768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-24765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-7620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 not meaningful</w:t>
      </w:r>
    </w:p>
    <w:p>
      <w:pPr>
        <w:spacing w:after="0" w:line="234" w:lineRule="exact"/>
        <w:rPr>
          <w:sz w:val="20"/>
          <w:szCs w:val="20"/>
          <w:color w:val="auto"/>
        </w:rPr>
      </w:pPr>
    </w:p>
    <w:p>
      <w:pPr>
        <w:jc w:val="both"/>
        <w:ind w:right="100"/>
        <w:spacing w:after="0" w:line="254" w:lineRule="auto"/>
        <w:rPr>
          <w:sz w:val="20"/>
          <w:szCs w:val="20"/>
          <w:color w:val="auto"/>
        </w:rPr>
      </w:pPr>
      <w:r>
        <w:rPr>
          <w:rFonts w:ascii="Arial" w:cs="Arial" w:eastAsia="Arial" w:hAnsi="Arial"/>
          <w:sz w:val="18"/>
          <w:szCs w:val="18"/>
          <w:color w:val="auto"/>
        </w:rPr>
        <w:t>The industry was in a tight capacity environment through the majority of 2022 with fewer drivers available to meet shipping demands, which has led to price increases charged to customers and an increase in the cost of purchased transportation. During 2022, the Company executed a yield strategy to achieve appropriate pricing per shipment for freight that optimized our network capacity. The execution of this strategy led to increased revenue per shipment and decreased shipment counts. The Company’s yield growth, including fuel surcharges, produced a consolidated operating revenue increase of $122.9 million compared to 2021, with an internal focus of retaining the optimal freight mix relative to human capital availability throughout 2022. Partially offsetting the positive yield growth, the Company experienced shipping volume decreases compared to 2021. Additionally, material changes in our expenses year over year are discussed below.</w:t>
      </w:r>
    </w:p>
    <w:p>
      <w:pPr>
        <w:spacing w:after="0" w:line="193" w:lineRule="exact"/>
        <w:rPr>
          <w:sz w:val="20"/>
          <w:szCs w:val="20"/>
          <w:color w:val="auto"/>
        </w:rPr>
      </w:pPr>
    </w:p>
    <w:p>
      <w:pPr>
        <w:jc w:val="both"/>
        <w:ind w:right="100"/>
        <w:spacing w:after="0" w:line="296" w:lineRule="auto"/>
        <w:rPr>
          <w:sz w:val="20"/>
          <w:szCs w:val="20"/>
          <w:color w:val="auto"/>
        </w:rPr>
      </w:pPr>
      <w:r>
        <w:rPr>
          <w:rFonts w:ascii="Arial" w:cs="Arial" w:eastAsia="Arial" w:hAnsi="Arial"/>
          <w:sz w:val="16"/>
          <w:szCs w:val="16"/>
          <w:i w:val="1"/>
          <w:iCs w:val="1"/>
          <w:color w:val="auto"/>
        </w:rPr>
        <w:t xml:space="preserve">Salaries, wages and employee benefits. </w:t>
      </w:r>
      <w:r>
        <w:rPr>
          <w:rFonts w:ascii="Arial" w:cs="Arial" w:eastAsia="Arial" w:hAnsi="Arial"/>
          <w:sz w:val="16"/>
          <w:szCs w:val="16"/>
          <w:color w:val="auto"/>
        </w:rPr>
        <w:t>Salaries, wages and employee benefits decreased $113.4 million primarily due to a $70.9 million decrease in</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 wages and related benefits as a result of fewer hours and a reduction in headcount, corresponding with shipping volume decreases. Additionally, short-term incentive compensation expense decreased $32.5 million based on operating results versus the plan’s target. Workers’ compensation expense decreased $30.9 million compared to 2021 primarily due to favorable development on prior year claims, resulting from fewer claims as well as reduced ultimate settlement amounts. These decreases were partially offset by contractual wage rate increases for union employees.</w:t>
      </w:r>
    </w:p>
    <w:p>
      <w:pPr>
        <w:spacing w:after="0" w:line="160" w:lineRule="exact"/>
        <w:rPr>
          <w:sz w:val="20"/>
          <w:szCs w:val="20"/>
          <w:color w:val="auto"/>
        </w:rPr>
      </w:pPr>
    </w:p>
    <w:p>
      <w:pPr>
        <w:jc w:val="both"/>
        <w:ind w:right="100"/>
        <w:spacing w:after="0" w:line="279" w:lineRule="auto"/>
        <w:rPr>
          <w:sz w:val="20"/>
          <w:szCs w:val="20"/>
          <w:color w:val="auto"/>
        </w:rPr>
      </w:pPr>
      <w:r>
        <w:rPr>
          <w:rFonts w:ascii="Arial" w:cs="Arial" w:eastAsia="Arial" w:hAnsi="Arial"/>
          <w:sz w:val="17"/>
          <w:szCs w:val="17"/>
          <w:i w:val="1"/>
          <w:iCs w:val="1"/>
          <w:color w:val="auto"/>
        </w:rPr>
        <w:t>Fuel, operating expenses and supplies</w:t>
      </w:r>
      <w:r>
        <w:rPr>
          <w:rFonts w:ascii="Arial" w:cs="Arial" w:eastAsia="Arial" w:hAnsi="Arial"/>
          <w:sz w:val="17"/>
          <w:szCs w:val="17"/>
          <w:color w:val="auto"/>
        </w:rPr>
        <w:t>. Fuel, operating expenses and supplies increased $218.5 million, primarily due to a $134.7 million increase in fuel</w:t>
      </w:r>
      <w:r>
        <w:rPr>
          <w:rFonts w:ascii="Arial" w:cs="Arial" w:eastAsia="Arial" w:hAnsi="Arial"/>
          <w:sz w:val="17"/>
          <w:szCs w:val="17"/>
          <w:i w:val="1"/>
          <w:iCs w:val="1"/>
          <w:color w:val="auto"/>
        </w:rPr>
        <w:t xml:space="preserve"> </w:t>
      </w:r>
      <w:r>
        <w:rPr>
          <w:rFonts w:ascii="Arial" w:cs="Arial" w:eastAsia="Arial" w:hAnsi="Arial"/>
          <w:sz w:val="17"/>
          <w:szCs w:val="17"/>
          <w:color w:val="auto"/>
        </w:rPr>
        <w:t>expense, resulting from higher fuel prices partially offset by fewer miles driven. Uncollectible receivables increased $33.6 million over 2021, and we incurred additional expenses in order to execute phase one of our network transformation including a $17.7 million increase in facility maintenance, a $16.2 million increase for travel and entertainment in other employee expenses and a $7.3 million increase in professional services.</w:t>
      </w:r>
    </w:p>
    <w:p>
      <w:pPr>
        <w:spacing w:after="0" w:line="17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449" w:right="239" w:bottom="1440" w:gutter="0" w:footer="0" w:header="0"/>
        </w:sectPr>
      </w:pPr>
    </w:p>
    <w:bookmarkStart w:id="23" w:name="page24"/>
    <w:bookmarkEnd w:id="23"/>
    <w:p>
      <w:pPr>
        <w:jc w:val="both"/>
        <w:spacing w:after="0" w:line="256" w:lineRule="auto"/>
        <w:rPr>
          <w:sz w:val="20"/>
          <w:szCs w:val="20"/>
          <w:color w:val="auto"/>
        </w:rPr>
      </w:pPr>
      <w:r>
        <w:rPr>
          <w:rFonts w:ascii="Arial" w:cs="Arial" w:eastAsia="Arial" w:hAnsi="Arial"/>
          <w:sz w:val="18"/>
          <w:szCs w:val="18"/>
          <w:i w:val="1"/>
          <w:iCs w:val="1"/>
          <w:color w:val="auto"/>
        </w:rPr>
        <w:t xml:space="preserve">Purchased transportation. </w:t>
      </w:r>
      <w:r>
        <w:rPr>
          <w:rFonts w:ascii="Arial" w:cs="Arial" w:eastAsia="Arial" w:hAnsi="Arial"/>
          <w:sz w:val="18"/>
          <w:szCs w:val="18"/>
          <w:color w:val="auto"/>
        </w:rPr>
        <w:t>Purchased transportation decreased $51.7 million primarily due to targeted efforts by the Company to mitigate certain impacts</w:t>
      </w:r>
      <w:r>
        <w:rPr>
          <w:rFonts w:ascii="Arial" w:cs="Arial" w:eastAsia="Arial" w:hAnsi="Arial"/>
          <w:sz w:val="18"/>
          <w:szCs w:val="18"/>
          <w:i w:val="1"/>
          <w:iCs w:val="1"/>
          <w:color w:val="auto"/>
        </w:rPr>
        <w:t xml:space="preserve"> </w:t>
      </w:r>
      <w:r>
        <w:rPr>
          <w:rFonts w:ascii="Arial" w:cs="Arial" w:eastAsia="Arial" w:hAnsi="Arial"/>
          <w:sz w:val="18"/>
          <w:szCs w:val="18"/>
          <w:color w:val="auto"/>
        </w:rPr>
        <w:t>from significant rate increases and other factors noted above. While the cost of purchased transportation has increased, overall utilization by the Company has declined leading to an overall decrease. Utilization has decreased in over-the-road transportation, $55.7 million, as well as vehicle rentals, $46.7 million. These decreases were partially offset by an increase of $30.8 million in third-party costs due to the growth in customer-specific logistics solutions and an increase of $23.0 million in rail purchased transportation expense.</w:t>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Other operating expenses</w:t>
      </w:r>
      <w:r>
        <w:rPr>
          <w:rFonts w:ascii="Arial" w:cs="Arial" w:eastAsia="Arial" w:hAnsi="Arial"/>
          <w:sz w:val="18"/>
          <w:szCs w:val="18"/>
          <w:color w:val="auto"/>
        </w:rPr>
        <w:t>. Other operating expenses increased $14.2 million primarily due to a $9.8 million increase in cargo claims expense and a $5.3</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settlement charge in association with the Department of Defense claim.</w:t>
      </w:r>
    </w:p>
    <w:p>
      <w:pPr>
        <w:spacing w:after="0" w:line="129" w:lineRule="exact"/>
        <w:rPr>
          <w:sz w:val="20"/>
          <w:szCs w:val="20"/>
          <w:color w:val="auto"/>
        </w:rPr>
      </w:pPr>
    </w:p>
    <w:p>
      <w:pPr>
        <w:jc w:val="both"/>
        <w:spacing w:after="0" w:line="307" w:lineRule="auto"/>
        <w:rPr>
          <w:sz w:val="20"/>
          <w:szCs w:val="20"/>
          <w:color w:val="auto"/>
        </w:rPr>
      </w:pPr>
      <w:r>
        <w:rPr>
          <w:rFonts w:ascii="Arial" w:cs="Arial" w:eastAsia="Arial" w:hAnsi="Arial"/>
          <w:sz w:val="17"/>
          <w:szCs w:val="17"/>
          <w:i w:val="1"/>
          <w:iCs w:val="1"/>
          <w:color w:val="auto"/>
        </w:rPr>
        <w:t>Gains on property disposals, net</w:t>
      </w:r>
      <w:r>
        <w:rPr>
          <w:rFonts w:ascii="Arial" w:cs="Arial" w:eastAsia="Arial" w:hAnsi="Arial"/>
          <w:sz w:val="17"/>
          <w:szCs w:val="17"/>
          <w:color w:val="auto"/>
        </w:rPr>
        <w:t>. Net gains on disposals of property were $38.0 million during 2022 as compared to net losses of $0.7 million in 2021</w:t>
      </w:r>
      <w:r>
        <w:rPr>
          <w:rFonts w:ascii="Arial" w:cs="Arial" w:eastAsia="Arial" w:hAnsi="Arial"/>
          <w:sz w:val="17"/>
          <w:szCs w:val="17"/>
          <w:i w:val="1"/>
          <w:iCs w:val="1"/>
          <w:color w:val="auto"/>
        </w:rPr>
        <w:t xml:space="preserve"> </w:t>
      </w:r>
      <w:r>
        <w:rPr>
          <w:rFonts w:ascii="Arial" w:cs="Arial" w:eastAsia="Arial" w:hAnsi="Arial"/>
          <w:sz w:val="17"/>
          <w:szCs w:val="17"/>
          <w:color w:val="auto"/>
        </w:rPr>
        <w:t>which were primarily related to the sale of real properties, including a $28.1 million gain from the sale of one excess property during 2022.</w:t>
      </w:r>
    </w:p>
    <w:p>
      <w:pPr>
        <w:spacing w:after="0" w:line="10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Nonoperating expense, net</w:t>
      </w:r>
      <w:r>
        <w:rPr>
          <w:rFonts w:ascii="Arial" w:cs="Arial" w:eastAsia="Arial" w:hAnsi="Arial"/>
          <w:sz w:val="18"/>
          <w:szCs w:val="18"/>
          <w:color w:val="auto"/>
        </w:rPr>
        <w:t>. Nonoperating expenses, net decreased $38.3 million, primarily related to non-union pension settlement charges of $64.7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in 2021, primarily driven by a partial pension annuitization during December 2021 compared to non-union pension charges of $12.1 million in 2022. This is offset by an increase in interest expense of $12.1 million, primarily due to higher interest rates.</w:t>
      </w:r>
    </w:p>
    <w:p>
      <w:pPr>
        <w:spacing w:after="0" w:line="18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Income tax. </w:t>
      </w:r>
      <w:r>
        <w:rPr>
          <w:rFonts w:ascii="Arial" w:cs="Arial" w:eastAsia="Arial" w:hAnsi="Arial"/>
          <w:sz w:val="17"/>
          <w:szCs w:val="17"/>
          <w:color w:val="auto"/>
        </w:rPr>
        <w:t>The Company’s effective tax rate for the years ended December 31, 2022 and 2021 was 17.7% and (2.9)%, respectively. The Company’s 2022</w:t>
      </w:r>
      <w:r>
        <w:rPr>
          <w:rFonts w:ascii="Arial" w:cs="Arial" w:eastAsia="Arial" w:hAnsi="Arial"/>
          <w:sz w:val="17"/>
          <w:szCs w:val="17"/>
          <w:i w:val="1"/>
          <w:iCs w:val="1"/>
          <w:color w:val="auto"/>
        </w:rPr>
        <w:t xml:space="preserve"> </w:t>
      </w:r>
      <w:r>
        <w:rPr>
          <w:rFonts w:ascii="Arial" w:cs="Arial" w:eastAsia="Arial" w:hAnsi="Arial"/>
          <w:sz w:val="17"/>
          <w:szCs w:val="17"/>
          <w:color w:val="auto"/>
        </w:rPr>
        <w:t>effective tax rate differed from the domestic federal statutory rate as a result of items permanently nondeductible for federal income tax purposes, changes in applicable state tax rates, differences between foreign and United States tax rates and the change in valuation allowance. As of December 31, 2022 and 2021, the Company had a full valuation allowance against our domestic net deferred tax assets.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The table below summarizes the key revenue metrics for the years ended December 31:</w:t>
      </w:r>
    </w:p>
    <w:tbl>
      <w:tblPr>
        <w:tblLayout w:type="fixed"/>
        <w:tblInd w:w="0" w:type="dxa"/>
        <w:tblCellMar>
          <w:top w:w="0" w:type="dxa"/>
          <w:left w:w="0" w:type="dxa"/>
          <w:bottom w:w="0" w:type="dxa"/>
          <w:right w:w="0" w:type="dxa"/>
        </w:tblCellMar>
      </w:tblPr>
      <w:tr>
        <w:trPr>
          <w:trHeight w:val="198"/>
        </w:trPr>
        <w:tc>
          <w:tcPr>
            <w:tcW w:w="674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540" w:type="dxa"/>
            <w:vAlign w:val="bottom"/>
            <w:gridSpan w:val="2"/>
          </w:tcPr>
          <w:p>
            <w:pPr>
              <w:jc w:val="right"/>
              <w:ind w:right="340"/>
              <w:spacing w:after="0" w:line="198" w:lineRule="exact"/>
              <w:rPr>
                <w:sz w:val="20"/>
                <w:szCs w:val="20"/>
                <w:color w:val="auto"/>
              </w:rPr>
            </w:pPr>
            <w:r>
              <w:rPr>
                <w:rFonts w:ascii="Arial" w:cs="Arial" w:eastAsia="Arial" w:hAnsi="Arial"/>
                <w:sz w:val="14"/>
                <w:szCs w:val="14"/>
                <w:b w:val="1"/>
                <w:bCs w:val="1"/>
                <w:color w:val="auto"/>
                <w:w w:val="96"/>
              </w:rPr>
              <w:t>Percent Change</w:t>
            </w:r>
            <w:r>
              <w:rPr>
                <w:rFonts w:ascii="Arial" w:cs="Arial" w:eastAsia="Arial" w:hAnsi="Arial"/>
                <w:sz w:val="19"/>
                <w:szCs w:val="19"/>
                <w:b w:val="1"/>
                <w:bCs w:val="1"/>
                <w:color w:val="auto"/>
                <w:w w:val="96"/>
                <w:vertAlign w:val="superscript"/>
              </w:rPr>
              <w:t>(a)</w:t>
            </w:r>
          </w:p>
        </w:tc>
        <w:tc>
          <w:tcPr>
            <w:tcW w:w="0" w:type="dxa"/>
            <w:vAlign w:val="bottom"/>
          </w:tcPr>
          <w:p>
            <w:pPr>
              <w:spacing w:after="0"/>
              <w:rPr>
                <w:sz w:val="1"/>
                <w:szCs w:val="1"/>
                <w:color w:val="auto"/>
              </w:rPr>
            </w:pPr>
          </w:p>
        </w:tc>
      </w:tr>
      <w:tr>
        <w:trPr>
          <w:trHeight w:val="236"/>
        </w:trPr>
        <w:tc>
          <w:tcPr>
            <w:tcW w:w="674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Workdays</w:t>
            </w:r>
          </w:p>
        </w:tc>
        <w:tc>
          <w:tcPr>
            <w:tcW w:w="60" w:type="dxa"/>
            <w:vAlign w:val="bottom"/>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spacing w:after="0"/>
              <w:rPr>
                <w:sz w:val="20"/>
                <w:szCs w:val="20"/>
                <w:color w:val="auto"/>
              </w:rPr>
            </w:pPr>
          </w:p>
        </w:tc>
        <w:tc>
          <w:tcPr>
            <w:tcW w:w="68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252.5</w:t>
            </w:r>
          </w:p>
        </w:tc>
        <w:tc>
          <w:tcPr>
            <w:tcW w:w="4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252.0</w:t>
            </w:r>
          </w:p>
        </w:tc>
        <w:tc>
          <w:tcPr>
            <w:tcW w:w="1440" w:type="dxa"/>
            <w:vAlign w:val="bottom"/>
            <w:tcBorders>
              <w:top w:val="single" w:sz="8" w:color="auto"/>
            </w:tcBorders>
            <w:shd w:val="clear" w:color="auto" w:fill="CFF0FC"/>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Ratio</w:t>
            </w:r>
          </w:p>
        </w:tc>
        <w:tc>
          <w:tcPr>
            <w:tcW w:w="6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6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96.2</w:t>
            </w:r>
          </w:p>
        </w:tc>
        <w:tc>
          <w:tcPr>
            <w:tcW w:w="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98.0</w:t>
            </w: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1.8pp</w:t>
            </w:r>
          </w:p>
        </w:tc>
        <w:tc>
          <w:tcPr>
            <w:tcW w:w="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2"/>
        </w:trPr>
        <w:tc>
          <w:tcPr>
            <w:tcW w:w="6740" w:type="dxa"/>
            <w:vAlign w:val="bottom"/>
          </w:tcPr>
          <w:p>
            <w:pPr>
              <w:ind w:left="20"/>
              <w:spacing w:after="0"/>
              <w:rPr>
                <w:sz w:val="20"/>
                <w:szCs w:val="20"/>
                <w:color w:val="auto"/>
              </w:rPr>
            </w:pPr>
            <w:r>
              <w:rPr>
                <w:rFonts w:ascii="Arial" w:cs="Arial" w:eastAsia="Arial" w:hAnsi="Arial"/>
                <w:sz w:val="18"/>
                <w:szCs w:val="18"/>
                <w:color w:val="auto"/>
              </w:rPr>
              <w:t>LTL picked up revenue (in millions)</w:t>
            </w:r>
          </w:p>
        </w:tc>
        <w:tc>
          <w:tcPr>
            <w:tcW w:w="88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50"/>
              <w:spacing w:after="0"/>
              <w:rPr>
                <w:sz w:val="20"/>
                <w:szCs w:val="20"/>
                <w:color w:val="auto"/>
              </w:rPr>
            </w:pPr>
            <w:r>
              <w:rPr>
                <w:rFonts w:ascii="Arial" w:cs="Arial" w:eastAsia="Arial" w:hAnsi="Arial"/>
                <w:sz w:val="18"/>
                <w:szCs w:val="18"/>
                <w:color w:val="auto"/>
                <w:w w:val="86"/>
              </w:rPr>
              <w:t>4,711.9</w:t>
            </w:r>
          </w:p>
        </w:tc>
        <w:tc>
          <w:tcPr>
            <w:tcW w:w="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4,615.2</w:t>
            </w: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color w:val="auto"/>
              </w:rPr>
              <w:t>LTL tonnage (in thousands)</w:t>
            </w: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7,691</w:t>
            </w: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9,520</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(19.2 )%</w:t>
            </w:r>
          </w:p>
        </w:tc>
        <w:tc>
          <w:tcPr>
            <w:tcW w:w="0" w:type="dxa"/>
            <w:vAlign w:val="bottom"/>
          </w:tcPr>
          <w:p>
            <w:pPr>
              <w:spacing w:after="0"/>
              <w:rPr>
                <w:sz w:val="1"/>
                <w:szCs w:val="1"/>
                <w:color w:val="auto"/>
              </w:rPr>
            </w:pP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color w:val="auto"/>
              </w:rPr>
              <w:t>LTL tonnage per workday (in thousands)</w:t>
            </w: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30.46</w:t>
            </w: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37.78</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(19.4 )%</w:t>
            </w:r>
          </w:p>
        </w:tc>
        <w:tc>
          <w:tcPr>
            <w:tcW w:w="0" w:type="dxa"/>
            <w:vAlign w:val="bottom"/>
          </w:tcPr>
          <w:p>
            <w:pPr>
              <w:spacing w:after="0"/>
              <w:rPr>
                <w:sz w:val="1"/>
                <w:szCs w:val="1"/>
                <w:color w:val="auto"/>
              </w:rPr>
            </w:pP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color w:val="auto"/>
              </w:rPr>
              <w:t>LTL shipments (in thousands)</w:t>
            </w: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80" w:type="dxa"/>
            <w:vAlign w:val="bottom"/>
          </w:tcPr>
          <w:p>
            <w:pPr>
              <w:jc w:val="right"/>
              <w:ind w:right="50"/>
              <w:spacing w:after="0"/>
              <w:rPr>
                <w:sz w:val="20"/>
                <w:szCs w:val="20"/>
                <w:color w:val="auto"/>
              </w:rPr>
            </w:pPr>
            <w:r>
              <w:rPr>
                <w:rFonts w:ascii="Arial" w:cs="Arial" w:eastAsia="Arial" w:hAnsi="Arial"/>
                <w:sz w:val="18"/>
                <w:szCs w:val="18"/>
                <w:color w:val="auto"/>
                <w:w w:val="94"/>
              </w:rPr>
              <w:t>13,853</w:t>
            </w: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16,707</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(17.1 )%</w:t>
            </w:r>
          </w:p>
        </w:tc>
        <w:tc>
          <w:tcPr>
            <w:tcW w:w="0" w:type="dxa"/>
            <w:vAlign w:val="bottom"/>
          </w:tcPr>
          <w:p>
            <w:pPr>
              <w:spacing w:after="0"/>
              <w:rPr>
                <w:sz w:val="1"/>
                <w:szCs w:val="1"/>
                <w:color w:val="auto"/>
              </w:rPr>
            </w:pP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color w:val="auto"/>
              </w:rPr>
              <w:t>LTL shipments per workday (in thousands)</w:t>
            </w: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54.86</w:t>
            </w: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66.30</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(17.2 )%</w:t>
            </w:r>
          </w:p>
        </w:tc>
        <w:tc>
          <w:tcPr>
            <w:tcW w:w="0" w:type="dxa"/>
            <w:vAlign w:val="bottom"/>
          </w:tcPr>
          <w:p>
            <w:pPr>
              <w:spacing w:after="0"/>
              <w:rPr>
                <w:sz w:val="1"/>
                <w:szCs w:val="1"/>
                <w:color w:val="auto"/>
              </w:rPr>
            </w:pP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color w:val="auto"/>
              </w:rPr>
              <w:t>LTL picked up revenue per hundred weight</w:t>
            </w:r>
          </w:p>
        </w:tc>
        <w:tc>
          <w:tcPr>
            <w:tcW w:w="88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30.63</w:t>
            </w:r>
          </w:p>
        </w:tc>
        <w:tc>
          <w:tcPr>
            <w:tcW w:w="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24.24</w:t>
            </w: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26.4 %</w:t>
            </w:r>
          </w:p>
        </w:tc>
        <w:tc>
          <w:tcPr>
            <w:tcW w:w="0" w:type="dxa"/>
            <w:vAlign w:val="bottom"/>
          </w:tcPr>
          <w:p>
            <w:pPr>
              <w:spacing w:after="0"/>
              <w:rPr>
                <w:sz w:val="1"/>
                <w:szCs w:val="1"/>
                <w:color w:val="auto"/>
              </w:rPr>
            </w:pP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color w:val="auto"/>
              </w:rPr>
              <w:t>LTL picked up revenue per hundred weight (excluding fuel surcharge)</w:t>
            </w:r>
          </w:p>
        </w:tc>
        <w:tc>
          <w:tcPr>
            <w:tcW w:w="88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24.39</w:t>
            </w:r>
          </w:p>
        </w:tc>
        <w:tc>
          <w:tcPr>
            <w:tcW w:w="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21.12</w:t>
            </w: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15.5 %</w:t>
            </w:r>
          </w:p>
        </w:tc>
        <w:tc>
          <w:tcPr>
            <w:tcW w:w="0" w:type="dxa"/>
            <w:vAlign w:val="bottom"/>
          </w:tcPr>
          <w:p>
            <w:pPr>
              <w:spacing w:after="0"/>
              <w:rPr>
                <w:sz w:val="1"/>
                <w:szCs w:val="1"/>
                <w:color w:val="auto"/>
              </w:rPr>
            </w:pP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color w:val="auto"/>
              </w:rPr>
              <w:t>LTL picked up revenue per shipment</w:t>
            </w:r>
          </w:p>
        </w:tc>
        <w:tc>
          <w:tcPr>
            <w:tcW w:w="88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340</w:t>
            </w:r>
          </w:p>
        </w:tc>
        <w:tc>
          <w:tcPr>
            <w:tcW w:w="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276</w:t>
            </w: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23.1 %</w:t>
            </w:r>
          </w:p>
        </w:tc>
        <w:tc>
          <w:tcPr>
            <w:tcW w:w="0" w:type="dxa"/>
            <w:vAlign w:val="bottom"/>
          </w:tcPr>
          <w:p>
            <w:pPr>
              <w:spacing w:after="0"/>
              <w:rPr>
                <w:sz w:val="1"/>
                <w:szCs w:val="1"/>
                <w:color w:val="auto"/>
              </w:rPr>
            </w:pP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color w:val="auto"/>
              </w:rPr>
              <w:t>LTL picked up revenue per shipment (excluding fuel surcharge)</w:t>
            </w:r>
          </w:p>
        </w:tc>
        <w:tc>
          <w:tcPr>
            <w:tcW w:w="88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271</w:t>
            </w:r>
          </w:p>
        </w:tc>
        <w:tc>
          <w:tcPr>
            <w:tcW w:w="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241</w:t>
            </w: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12.5 %</w:t>
            </w:r>
          </w:p>
        </w:tc>
        <w:tc>
          <w:tcPr>
            <w:tcW w:w="0" w:type="dxa"/>
            <w:vAlign w:val="bottom"/>
          </w:tcPr>
          <w:p>
            <w:pPr>
              <w:spacing w:after="0"/>
              <w:rPr>
                <w:sz w:val="1"/>
                <w:szCs w:val="1"/>
                <w:color w:val="auto"/>
              </w:rPr>
            </w:pPr>
          </w:p>
        </w:tc>
      </w:tr>
      <w:tr>
        <w:trPr>
          <w:trHeight w:val="249"/>
        </w:trPr>
        <w:tc>
          <w:tcPr>
            <w:tcW w:w="6740" w:type="dxa"/>
            <w:vAlign w:val="bottom"/>
          </w:tcPr>
          <w:p>
            <w:pPr>
              <w:ind w:left="20"/>
              <w:spacing w:after="0"/>
              <w:rPr>
                <w:sz w:val="20"/>
                <w:szCs w:val="20"/>
                <w:color w:val="auto"/>
              </w:rPr>
            </w:pPr>
            <w:r>
              <w:rPr>
                <w:rFonts w:ascii="Arial" w:cs="Arial" w:eastAsia="Arial" w:hAnsi="Arial"/>
                <w:sz w:val="18"/>
                <w:szCs w:val="18"/>
                <w:color w:val="auto"/>
              </w:rPr>
              <w:t>LTL weight per shipment (in pounds)</w:t>
            </w: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1,110</w:t>
            </w: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1,140</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49"/>
        </w:trPr>
        <w:tc>
          <w:tcPr>
            <w:tcW w:w="6740" w:type="dxa"/>
            <w:vAlign w:val="bottom"/>
            <w:shd w:val="clear" w:color="auto" w:fill="CFF0FC"/>
          </w:tcPr>
          <w:p>
            <w:pPr>
              <w:spacing w:after="0"/>
              <w:rPr>
                <w:sz w:val="21"/>
                <w:szCs w:val="21"/>
                <w:color w:val="auto"/>
              </w:rPr>
            </w:pPr>
          </w:p>
        </w:tc>
        <w:tc>
          <w:tcPr>
            <w:tcW w:w="880" w:type="dxa"/>
            <w:vAlign w:val="bottom"/>
            <w:gridSpan w:val="2"/>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360" w:type="dxa"/>
            <w:vAlign w:val="bottom"/>
            <w:gridSpan w:val="2"/>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20"/>
              <w:spacing w:after="0" w:line="243" w:lineRule="exact"/>
              <w:rPr>
                <w:sz w:val="20"/>
                <w:szCs w:val="20"/>
                <w:color w:val="auto"/>
              </w:rPr>
            </w:pPr>
            <w:r>
              <w:rPr>
                <w:rFonts w:ascii="Arial" w:cs="Arial" w:eastAsia="Arial" w:hAnsi="Arial"/>
                <w:sz w:val="18"/>
                <w:szCs w:val="18"/>
                <w:color w:val="auto"/>
              </w:rPr>
              <w:t>Total picked up revenue (in millions)</w:t>
            </w:r>
            <w:r>
              <w:rPr>
                <w:rFonts w:ascii="Arial" w:cs="Arial" w:eastAsia="Arial" w:hAnsi="Arial"/>
                <w:sz w:val="24"/>
                <w:szCs w:val="24"/>
                <w:color w:val="auto"/>
                <w:vertAlign w:val="superscript"/>
              </w:rPr>
              <w:t>(b)</w:t>
            </w:r>
          </w:p>
        </w:tc>
        <w:tc>
          <w:tcPr>
            <w:tcW w:w="88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50"/>
              <w:spacing w:after="0"/>
              <w:rPr>
                <w:sz w:val="20"/>
                <w:szCs w:val="20"/>
                <w:color w:val="auto"/>
              </w:rPr>
            </w:pPr>
            <w:r>
              <w:rPr>
                <w:rFonts w:ascii="Arial" w:cs="Arial" w:eastAsia="Arial" w:hAnsi="Arial"/>
                <w:sz w:val="18"/>
                <w:szCs w:val="18"/>
                <w:color w:val="auto"/>
                <w:w w:val="86"/>
              </w:rPr>
              <w:t>5,153.0</w:t>
            </w:r>
          </w:p>
        </w:tc>
        <w:tc>
          <w:tcPr>
            <w:tcW w:w="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5,077.7</w:t>
            </w: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Total tonnage (in thousands)</w:t>
            </w: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9,826</w:t>
            </w: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12,427</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(20.9 )%</w:t>
            </w:r>
          </w:p>
        </w:tc>
        <w:tc>
          <w:tcPr>
            <w:tcW w:w="0" w:type="dxa"/>
            <w:vAlign w:val="bottom"/>
          </w:tcPr>
          <w:p>
            <w:pPr>
              <w:spacing w:after="0"/>
              <w:rPr>
                <w:sz w:val="1"/>
                <w:szCs w:val="1"/>
                <w:color w:val="auto"/>
              </w:rPr>
            </w:pPr>
          </w:p>
        </w:tc>
      </w:tr>
      <w:tr>
        <w:trPr>
          <w:trHeight w:val="242"/>
        </w:trPr>
        <w:tc>
          <w:tcPr>
            <w:tcW w:w="6740" w:type="dxa"/>
            <w:vAlign w:val="bottom"/>
          </w:tcPr>
          <w:p>
            <w:pPr>
              <w:ind w:left="20"/>
              <w:spacing w:after="0"/>
              <w:rPr>
                <w:sz w:val="20"/>
                <w:szCs w:val="20"/>
                <w:color w:val="auto"/>
              </w:rPr>
            </w:pPr>
            <w:r>
              <w:rPr>
                <w:rFonts w:ascii="Arial" w:cs="Arial" w:eastAsia="Arial" w:hAnsi="Arial"/>
                <w:sz w:val="18"/>
                <w:szCs w:val="18"/>
                <w:color w:val="auto"/>
              </w:rPr>
              <w:t>Total tonnage per workday (in thousands)</w:t>
            </w: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38.92</w:t>
            </w: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49.31</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(21.1 )%</w:t>
            </w:r>
          </w:p>
        </w:tc>
        <w:tc>
          <w:tcPr>
            <w:tcW w:w="0" w:type="dxa"/>
            <w:vAlign w:val="bottom"/>
          </w:tcPr>
          <w:p>
            <w:pPr>
              <w:spacing w:after="0"/>
              <w:rPr>
                <w:sz w:val="1"/>
                <w:szCs w:val="1"/>
                <w:color w:val="auto"/>
              </w:rPr>
            </w:pP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color w:val="auto"/>
              </w:rPr>
              <w:t>Total shipments (in thousands)</w:t>
            </w: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80" w:type="dxa"/>
            <w:vAlign w:val="bottom"/>
          </w:tcPr>
          <w:p>
            <w:pPr>
              <w:jc w:val="right"/>
              <w:ind w:right="50"/>
              <w:spacing w:after="0"/>
              <w:rPr>
                <w:sz w:val="20"/>
                <w:szCs w:val="20"/>
                <w:color w:val="auto"/>
              </w:rPr>
            </w:pPr>
            <w:r>
              <w:rPr>
                <w:rFonts w:ascii="Arial" w:cs="Arial" w:eastAsia="Arial" w:hAnsi="Arial"/>
                <w:sz w:val="18"/>
                <w:szCs w:val="18"/>
                <w:color w:val="auto"/>
                <w:w w:val="94"/>
              </w:rPr>
              <w:t>14,213</w:t>
            </w: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17,178</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(17.3 )%</w:t>
            </w:r>
          </w:p>
        </w:tc>
        <w:tc>
          <w:tcPr>
            <w:tcW w:w="0" w:type="dxa"/>
            <w:vAlign w:val="bottom"/>
          </w:tcPr>
          <w:p>
            <w:pPr>
              <w:spacing w:after="0"/>
              <w:rPr>
                <w:sz w:val="1"/>
                <w:szCs w:val="1"/>
                <w:color w:val="auto"/>
              </w:rPr>
            </w:pP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color w:val="auto"/>
              </w:rPr>
              <w:t>Total shipments per workday (in thousands)</w:t>
            </w: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56.29</w:t>
            </w: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68.17</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(17.4 )%</w:t>
            </w:r>
          </w:p>
        </w:tc>
        <w:tc>
          <w:tcPr>
            <w:tcW w:w="0" w:type="dxa"/>
            <w:vAlign w:val="bottom"/>
          </w:tcPr>
          <w:p>
            <w:pPr>
              <w:spacing w:after="0"/>
              <w:rPr>
                <w:sz w:val="1"/>
                <w:szCs w:val="1"/>
                <w:color w:val="auto"/>
              </w:rPr>
            </w:pP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color w:val="auto"/>
              </w:rPr>
              <w:t>Total picked up revenue per hundred weight</w:t>
            </w:r>
          </w:p>
        </w:tc>
        <w:tc>
          <w:tcPr>
            <w:tcW w:w="88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26.22</w:t>
            </w:r>
          </w:p>
        </w:tc>
        <w:tc>
          <w:tcPr>
            <w:tcW w:w="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20.43</w:t>
            </w: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28.3 %</w:t>
            </w:r>
          </w:p>
        </w:tc>
        <w:tc>
          <w:tcPr>
            <w:tcW w:w="0" w:type="dxa"/>
            <w:vAlign w:val="bottom"/>
          </w:tcPr>
          <w:p>
            <w:pPr>
              <w:spacing w:after="0"/>
              <w:rPr>
                <w:sz w:val="1"/>
                <w:szCs w:val="1"/>
                <w:color w:val="auto"/>
              </w:rPr>
            </w:pP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color w:val="auto"/>
              </w:rPr>
              <w:t>Total picked up revenue per hundred weight (excluding fuel surcharge)</w:t>
            </w:r>
          </w:p>
        </w:tc>
        <w:tc>
          <w:tcPr>
            <w:tcW w:w="88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21.08</w:t>
            </w:r>
          </w:p>
        </w:tc>
        <w:tc>
          <w:tcPr>
            <w:tcW w:w="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17.88</w:t>
            </w: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17.9 %</w:t>
            </w:r>
          </w:p>
        </w:tc>
        <w:tc>
          <w:tcPr>
            <w:tcW w:w="0" w:type="dxa"/>
            <w:vAlign w:val="bottom"/>
          </w:tcPr>
          <w:p>
            <w:pPr>
              <w:spacing w:after="0"/>
              <w:rPr>
                <w:sz w:val="1"/>
                <w:szCs w:val="1"/>
                <w:color w:val="auto"/>
              </w:rPr>
            </w:pP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color w:val="auto"/>
              </w:rPr>
              <w:t>Total picked up revenue per shipment</w:t>
            </w:r>
          </w:p>
        </w:tc>
        <w:tc>
          <w:tcPr>
            <w:tcW w:w="88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363</w:t>
            </w:r>
          </w:p>
        </w:tc>
        <w:tc>
          <w:tcPr>
            <w:tcW w:w="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296</w:t>
            </w: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22.7 %</w:t>
            </w:r>
          </w:p>
        </w:tc>
        <w:tc>
          <w:tcPr>
            <w:tcW w:w="0" w:type="dxa"/>
            <w:vAlign w:val="bottom"/>
          </w:tcPr>
          <w:p>
            <w:pPr>
              <w:spacing w:after="0"/>
              <w:rPr>
                <w:sz w:val="1"/>
                <w:szCs w:val="1"/>
                <w:color w:val="auto"/>
              </w:rPr>
            </w:pP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color w:val="auto"/>
              </w:rPr>
              <w:t>Total picked up revenue per shipment (excluding fuel surcharge)</w:t>
            </w:r>
          </w:p>
        </w:tc>
        <w:tc>
          <w:tcPr>
            <w:tcW w:w="88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291</w:t>
            </w:r>
          </w:p>
        </w:tc>
        <w:tc>
          <w:tcPr>
            <w:tcW w:w="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259</w:t>
            </w: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12.7 %</w:t>
            </w:r>
          </w:p>
        </w:tc>
        <w:tc>
          <w:tcPr>
            <w:tcW w:w="0" w:type="dxa"/>
            <w:vAlign w:val="bottom"/>
          </w:tcPr>
          <w:p>
            <w:pPr>
              <w:spacing w:after="0"/>
              <w:rPr>
                <w:sz w:val="1"/>
                <w:szCs w:val="1"/>
                <w:color w:val="auto"/>
              </w:rPr>
            </w:pP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color w:val="auto"/>
              </w:rPr>
              <w:t>Total weight per shipment (in pounds)</w:t>
            </w: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1,383</w:t>
            </w: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1,447</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(4.4 )%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-3227705</wp:posOffset>
            </wp:positionV>
            <wp:extent cx="7132320" cy="1543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-2919095</wp:posOffset>
            </wp:positionV>
            <wp:extent cx="7132320" cy="154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-2611120</wp:posOffset>
            </wp:positionV>
            <wp:extent cx="7132320" cy="1543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-2302510</wp:posOffset>
            </wp:positionV>
            <wp:extent cx="7132320" cy="1543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-1994535</wp:posOffset>
            </wp:positionV>
            <wp:extent cx="7132320" cy="1543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-1377950</wp:posOffset>
            </wp:positionV>
            <wp:extent cx="7132320" cy="1543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-1069975</wp:posOffset>
            </wp:positionV>
            <wp:extent cx="7132320" cy="1543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-761365</wp:posOffset>
            </wp:positionV>
            <wp:extent cx="7132320" cy="1543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-453390</wp:posOffset>
            </wp:positionV>
            <wp:extent cx="7132320" cy="1543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543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22" w:lineRule="exact"/>
        <w:rPr>
          <w:sz w:val="20"/>
          <w:szCs w:val="20"/>
          <w:color w:val="auto"/>
        </w:rPr>
      </w:pPr>
    </w:p>
    <w:p>
      <w:pPr>
        <w:ind w:left="380" w:hanging="372"/>
        <w:spacing w:after="0"/>
        <w:tabs>
          <w:tab w:leader="none" w:pos="3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Percent change based on unrounded figures and not the rounded figures presented.</w:t>
      </w:r>
    </w:p>
    <w:p>
      <w:pPr>
        <w:ind w:left="380" w:hanging="372"/>
        <w:spacing w:after="0"/>
        <w:tabs>
          <w:tab w:leader="none" w:pos="3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Does not equal financial statement revenue due to revenue recognition adjustments between accounting periods and the impact of other revenue.</w:t>
      </w:r>
    </w:p>
    <w:p>
      <w:pPr>
        <w:spacing w:after="0" w:line="376"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366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3840" w:type="dxa"/>
            <w:vAlign w:val="bottom"/>
          </w:tcPr>
          <w:p>
            <w:pPr>
              <w:jc w:val="right"/>
              <w:ind w:right="548"/>
              <w:spacing w:after="0"/>
              <w:rPr>
                <w:sz w:val="20"/>
                <w:szCs w:val="20"/>
                <w:color w:val="auto"/>
              </w:rPr>
            </w:pPr>
            <w:r>
              <w:rPr>
                <w:rFonts w:ascii="Arial" w:cs="Arial" w:eastAsia="Arial" w:hAnsi="Arial"/>
                <w:sz w:val="14"/>
                <w:szCs w:val="14"/>
                <w:b w:val="1"/>
                <w:bCs w:val="1"/>
                <w:color w:val="auto"/>
              </w:rPr>
              <w:t>2022</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0</wp:posOffset>
            </wp:positionV>
            <wp:extent cx="57023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02300" cy="8255"/>
                    </a:xfrm>
                    <a:prstGeom prst="rect">
                      <a:avLst/>
                    </a:prstGeom>
                    <a:noFill/>
                  </pic:spPr>
                </pic:pic>
              </a:graphicData>
            </a:graphic>
          </wp:anchor>
        </w:drawing>
      </w:r>
    </w:p>
    <w:p>
      <w:pPr>
        <w:ind w:left="1320" w:hanging="173"/>
        <w:spacing w:after="0"/>
        <w:tabs>
          <w:tab w:leader="none" w:pos="1320"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Reconciliation of operating revenue to total picked up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-144780</wp:posOffset>
            </wp:positionV>
            <wp:extent cx="5702300" cy="1543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02300" cy="154305"/>
                    </a:xfrm>
                    <a:prstGeom prst="rect">
                      <a:avLst/>
                    </a:prstGeom>
                    <a:noFill/>
                  </pic:spPr>
                </pic:pic>
              </a:graphicData>
            </a:graphic>
          </wp:anchor>
        </w:drawing>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140" w:type="dxa"/>
            <w:vAlign w:val="bottom"/>
          </w:tcPr>
          <w:p>
            <w:pPr>
              <w:spacing w:after="0"/>
              <w:rPr>
                <w:sz w:val="19"/>
                <w:szCs w:val="19"/>
                <w:color w:val="auto"/>
              </w:rPr>
            </w:pPr>
          </w:p>
        </w:tc>
        <w:tc>
          <w:tcPr>
            <w:tcW w:w="3620" w:type="dxa"/>
            <w:vAlign w:val="bottom"/>
          </w:tcPr>
          <w:p>
            <w:pPr>
              <w:ind w:left="180"/>
              <w:spacing w:after="0"/>
              <w:rPr>
                <w:sz w:val="20"/>
                <w:szCs w:val="20"/>
                <w:color w:val="auto"/>
              </w:rPr>
            </w:pPr>
            <w:r>
              <w:rPr>
                <w:rFonts w:ascii="Arial" w:cs="Arial" w:eastAsia="Arial" w:hAnsi="Arial"/>
                <w:sz w:val="18"/>
                <w:szCs w:val="18"/>
                <w:color w:val="auto"/>
              </w:rPr>
              <w:t>Operating revenue</w:t>
            </w:r>
          </w:p>
        </w:tc>
        <w:tc>
          <w:tcPr>
            <w:tcW w:w="2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5,244.7</w:t>
            </w:r>
          </w:p>
        </w:tc>
        <w:tc>
          <w:tcPr>
            <w:tcW w:w="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5,121.8</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36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Change in revenue deferral and other</w:t>
            </w:r>
          </w:p>
        </w:tc>
        <w:tc>
          <w:tcPr>
            <w:tcW w:w="248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(91.7 )</w:t>
            </w:r>
          </w:p>
        </w:tc>
        <w:tc>
          <w:tcPr>
            <w:tcW w:w="16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(44.1 )</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Total picked up revenue</w:t>
            </w:r>
          </w:p>
        </w:tc>
        <w:tc>
          <w:tcPr>
            <w:tcW w:w="2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5,153.0</w:t>
            </w:r>
          </w:p>
        </w:tc>
        <w:tc>
          <w:tcPr>
            <w:tcW w:w="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5,077.7</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480" w:type="dxa"/>
            <w:vAlign w:val="bottom"/>
            <w:vMerge w:val="restart"/>
          </w:tcPr>
          <w:p>
            <w:pPr>
              <w:jc w:val="right"/>
              <w:ind w:right="1430"/>
              <w:spacing w:after="0"/>
              <w:rPr>
                <w:sz w:val="20"/>
                <w:szCs w:val="20"/>
                <w:color w:val="auto"/>
              </w:rPr>
            </w:pPr>
            <w:r>
              <w:rPr>
                <w:rFonts w:ascii="Arial" w:cs="Arial" w:eastAsia="Arial" w:hAnsi="Arial"/>
                <w:sz w:val="18"/>
                <w:szCs w:val="18"/>
                <w:color w:val="auto"/>
              </w:rPr>
              <w:t>25</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4"/>
        </w:trPr>
        <w:tc>
          <w:tcPr>
            <w:tcW w:w="11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9"/>
                <w:szCs w:val="9"/>
                <w:color w:val="auto"/>
              </w:rPr>
            </w:pPr>
          </w:p>
        </w:tc>
        <w:tc>
          <w:tcPr>
            <w:tcW w:w="3620" w:type="dxa"/>
            <w:vAlign w:val="bottom"/>
            <w:tcBorders>
              <w:bottom w:val="single" w:sz="8" w:color="9A9A9A"/>
            </w:tcBorders>
          </w:tcPr>
          <w:p>
            <w:pPr>
              <w:spacing w:after="0"/>
              <w:rPr>
                <w:sz w:val="9"/>
                <w:szCs w:val="9"/>
                <w:color w:val="auto"/>
              </w:rPr>
            </w:pPr>
          </w:p>
        </w:tc>
        <w:tc>
          <w:tcPr>
            <w:tcW w:w="248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5476240</wp:posOffset>
            </wp:positionH>
            <wp:positionV relativeFrom="paragraph">
              <wp:posOffset>-684530</wp:posOffset>
            </wp:positionV>
            <wp:extent cx="93980" cy="1885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273"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2021 Compared to 2020</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provides summary consolidated financial information and amounts as a percentage of operating revenue for the years ended December 31:</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Percent Change</w:t>
            </w:r>
          </w:p>
        </w:tc>
      </w:tr>
      <w:tr>
        <w:trPr>
          <w:trHeight w:val="218"/>
        </w:trPr>
        <w:tc>
          <w:tcPr>
            <w:tcW w:w="5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2021</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2020</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2021 vs. 2020</w:t>
            </w:r>
          </w:p>
        </w:tc>
      </w:tr>
      <w:tr>
        <w:trPr>
          <w:trHeight w:val="169"/>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1280" w:type="dxa"/>
            <w:vAlign w:val="bottom"/>
            <w:tcBorders>
              <w:top w:val="single" w:sz="8" w:color="auto"/>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r>
      <w:tr>
        <w:trPr>
          <w:trHeight w:val="228"/>
        </w:trPr>
        <w:tc>
          <w:tcPr>
            <w:tcW w:w="5100" w:type="dxa"/>
            <w:vAlign w:val="bottom"/>
          </w:tcPr>
          <w:p>
            <w:pPr>
              <w:ind w:left="20"/>
              <w:spacing w:after="0"/>
              <w:rPr>
                <w:sz w:val="20"/>
                <w:szCs w:val="20"/>
                <w:color w:val="auto"/>
              </w:rPr>
            </w:pPr>
            <w:r>
              <w:rPr>
                <w:rFonts w:ascii="Arial" w:cs="Arial" w:eastAsia="Arial" w:hAnsi="Arial"/>
                <w:sz w:val="18"/>
                <w:szCs w:val="18"/>
                <w:b w:val="1"/>
                <w:bCs w:val="1"/>
                <w:color w:val="auto"/>
              </w:rPr>
              <w:t>Operating Revenue</w:t>
            </w:r>
          </w:p>
        </w:tc>
        <w:tc>
          <w:tcPr>
            <w:tcW w:w="1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53"/>
              <w:spacing w:after="0"/>
              <w:rPr>
                <w:sz w:val="20"/>
                <w:szCs w:val="20"/>
                <w:color w:val="auto"/>
              </w:rPr>
            </w:pPr>
            <w:r>
              <w:rPr>
                <w:rFonts w:ascii="Arial" w:cs="Arial" w:eastAsia="Arial" w:hAnsi="Arial"/>
                <w:sz w:val="18"/>
                <w:szCs w:val="18"/>
                <w:color w:val="auto"/>
              </w:rPr>
              <w:t>5,121.8</w:t>
            </w:r>
          </w:p>
        </w:tc>
        <w:tc>
          <w:tcPr>
            <w:tcW w:w="12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4,513.7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13.5 %</w:t>
            </w:r>
          </w:p>
        </w:tc>
      </w:tr>
      <w:tr>
        <w:trPr>
          <w:trHeight w:val="238"/>
        </w:trPr>
        <w:tc>
          <w:tcPr>
            <w:tcW w:w="5240" w:type="dxa"/>
            <w:vAlign w:val="bottom"/>
            <w:gridSpan w:val="2"/>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5240" w:type="dxa"/>
            <w:vAlign w:val="bottom"/>
            <w:gridSpan w:val="2"/>
          </w:tcPr>
          <w:p>
            <w:pPr>
              <w:ind w:left="200"/>
              <w:spacing w:after="0"/>
              <w:rPr>
                <w:sz w:val="20"/>
                <w:szCs w:val="20"/>
                <w:color w:val="auto"/>
              </w:rPr>
            </w:pPr>
            <w:r>
              <w:rPr>
                <w:rFonts w:ascii="Arial" w:cs="Arial" w:eastAsia="Arial" w:hAnsi="Arial"/>
                <w:sz w:val="18"/>
                <w:szCs w:val="18"/>
                <w:color w:val="auto"/>
              </w:rPr>
              <w:t>Salaries, wages and employee benefits</w:t>
            </w:r>
          </w:p>
        </w:tc>
        <w:tc>
          <w:tcPr>
            <w:tcW w:w="280" w:type="dxa"/>
            <w:vAlign w:val="bottom"/>
          </w:tcPr>
          <w:p>
            <w:pPr>
              <w:spacing w:after="0"/>
              <w:rPr>
                <w:sz w:val="21"/>
                <w:szCs w:val="21"/>
                <w:color w:val="auto"/>
              </w:rPr>
            </w:pPr>
          </w:p>
        </w:tc>
        <w:tc>
          <w:tcPr>
            <w:tcW w:w="840" w:type="dxa"/>
            <w:vAlign w:val="bottom"/>
          </w:tcPr>
          <w:p>
            <w:pPr>
              <w:jc w:val="right"/>
              <w:ind w:right="53"/>
              <w:spacing w:after="0"/>
              <w:rPr>
                <w:sz w:val="20"/>
                <w:szCs w:val="20"/>
                <w:color w:val="auto"/>
              </w:rPr>
            </w:pPr>
            <w:r>
              <w:rPr>
                <w:rFonts w:ascii="Arial" w:cs="Arial" w:eastAsia="Arial" w:hAnsi="Arial"/>
                <w:sz w:val="18"/>
                <w:szCs w:val="18"/>
                <w:color w:val="auto"/>
              </w:rPr>
              <w:t>2,921.7</w:t>
            </w: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57.0</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2,770.1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61.4</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5.5 %</w:t>
            </w:r>
          </w:p>
        </w:tc>
      </w:tr>
      <w:tr>
        <w:trPr>
          <w:trHeight w:val="243"/>
        </w:trPr>
        <w:tc>
          <w:tcPr>
            <w:tcW w:w="5240" w:type="dxa"/>
            <w:vAlign w:val="bottom"/>
            <w:gridSpan w:val="2"/>
          </w:tcPr>
          <w:p>
            <w:pPr>
              <w:ind w:left="200"/>
              <w:spacing w:after="0"/>
              <w:rPr>
                <w:sz w:val="20"/>
                <w:szCs w:val="20"/>
                <w:color w:val="auto"/>
              </w:rPr>
            </w:pPr>
            <w:r>
              <w:rPr>
                <w:rFonts w:ascii="Arial" w:cs="Arial" w:eastAsia="Arial" w:hAnsi="Arial"/>
                <w:sz w:val="18"/>
                <w:szCs w:val="18"/>
                <w:color w:val="auto"/>
              </w:rPr>
              <w:t>Fuel, operating expenses and supplies</w:t>
            </w:r>
          </w:p>
        </w:tc>
        <w:tc>
          <w:tcPr>
            <w:tcW w:w="280" w:type="dxa"/>
            <w:vAlign w:val="bottom"/>
          </w:tcPr>
          <w:p>
            <w:pPr>
              <w:spacing w:after="0"/>
              <w:rPr>
                <w:sz w:val="21"/>
                <w:szCs w:val="21"/>
                <w:color w:val="auto"/>
              </w:rPr>
            </w:pPr>
          </w:p>
        </w:tc>
        <w:tc>
          <w:tcPr>
            <w:tcW w:w="840" w:type="dxa"/>
            <w:vAlign w:val="bottom"/>
          </w:tcPr>
          <w:p>
            <w:pPr>
              <w:jc w:val="right"/>
              <w:ind w:right="53"/>
              <w:spacing w:after="0"/>
              <w:rPr>
                <w:sz w:val="20"/>
                <w:szCs w:val="20"/>
                <w:color w:val="auto"/>
              </w:rPr>
            </w:pPr>
            <w:r>
              <w:rPr>
                <w:rFonts w:ascii="Arial" w:cs="Arial" w:eastAsia="Arial" w:hAnsi="Arial"/>
                <w:sz w:val="18"/>
                <w:szCs w:val="18"/>
                <w:color w:val="auto"/>
              </w:rPr>
              <w:t>858.1</w:t>
            </w: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16.8</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719.1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15.9</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19.3 %</w:t>
            </w:r>
          </w:p>
        </w:tc>
      </w:tr>
      <w:tr>
        <w:trPr>
          <w:trHeight w:val="243"/>
        </w:trPr>
        <w:tc>
          <w:tcPr>
            <w:tcW w:w="5240" w:type="dxa"/>
            <w:vAlign w:val="bottom"/>
            <w:gridSpan w:val="2"/>
          </w:tcPr>
          <w:p>
            <w:pPr>
              <w:ind w:left="200"/>
              <w:spacing w:after="0"/>
              <w:rPr>
                <w:sz w:val="20"/>
                <w:szCs w:val="20"/>
                <w:color w:val="auto"/>
              </w:rPr>
            </w:pPr>
            <w:r>
              <w:rPr>
                <w:rFonts w:ascii="Arial" w:cs="Arial" w:eastAsia="Arial" w:hAnsi="Arial"/>
                <w:sz w:val="18"/>
                <w:szCs w:val="18"/>
                <w:color w:val="auto"/>
              </w:rPr>
              <w:t>Purchased transportation</w:t>
            </w:r>
          </w:p>
        </w:tc>
        <w:tc>
          <w:tcPr>
            <w:tcW w:w="280" w:type="dxa"/>
            <w:vAlign w:val="bottom"/>
          </w:tcPr>
          <w:p>
            <w:pPr>
              <w:spacing w:after="0"/>
              <w:rPr>
                <w:sz w:val="21"/>
                <w:szCs w:val="21"/>
                <w:color w:val="auto"/>
              </w:rPr>
            </w:pPr>
          </w:p>
        </w:tc>
        <w:tc>
          <w:tcPr>
            <w:tcW w:w="840" w:type="dxa"/>
            <w:vAlign w:val="bottom"/>
          </w:tcPr>
          <w:p>
            <w:pPr>
              <w:jc w:val="right"/>
              <w:ind w:right="53"/>
              <w:spacing w:after="0"/>
              <w:rPr>
                <w:sz w:val="20"/>
                <w:szCs w:val="20"/>
                <w:color w:val="auto"/>
              </w:rPr>
            </w:pPr>
            <w:r>
              <w:rPr>
                <w:rFonts w:ascii="Arial" w:cs="Arial" w:eastAsia="Arial" w:hAnsi="Arial"/>
                <w:sz w:val="18"/>
                <w:szCs w:val="18"/>
                <w:color w:val="auto"/>
              </w:rPr>
              <w:t>800.2</w:t>
            </w: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15.6</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638.8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14.2</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25.3 %</w:t>
            </w:r>
          </w:p>
        </w:tc>
      </w:tr>
      <w:tr>
        <w:trPr>
          <w:trHeight w:val="243"/>
        </w:trPr>
        <w:tc>
          <w:tcPr>
            <w:tcW w:w="5240" w:type="dxa"/>
            <w:vAlign w:val="bottom"/>
            <w:gridSpan w:val="2"/>
          </w:tcPr>
          <w:p>
            <w:pPr>
              <w:ind w:left="20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840" w:type="dxa"/>
            <w:vAlign w:val="bottom"/>
          </w:tcPr>
          <w:p>
            <w:pPr>
              <w:jc w:val="right"/>
              <w:ind w:right="53"/>
              <w:spacing w:after="0"/>
              <w:rPr>
                <w:sz w:val="20"/>
                <w:szCs w:val="20"/>
                <w:color w:val="auto"/>
              </w:rPr>
            </w:pPr>
            <w:r>
              <w:rPr>
                <w:rFonts w:ascii="Arial" w:cs="Arial" w:eastAsia="Arial" w:hAnsi="Arial"/>
                <w:sz w:val="18"/>
                <w:szCs w:val="18"/>
                <w:color w:val="auto"/>
              </w:rPr>
              <w:t>143.6</w:t>
            </w: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134.9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3.0</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6.4 %</w:t>
            </w:r>
          </w:p>
        </w:tc>
      </w:tr>
      <w:tr>
        <w:trPr>
          <w:trHeight w:val="243"/>
        </w:trPr>
        <w:tc>
          <w:tcPr>
            <w:tcW w:w="5240" w:type="dxa"/>
            <w:vAlign w:val="bottom"/>
            <w:gridSpan w:val="2"/>
          </w:tcPr>
          <w:p>
            <w:pPr>
              <w:ind w:left="200"/>
              <w:spacing w:after="0"/>
              <w:rPr>
                <w:sz w:val="20"/>
                <w:szCs w:val="20"/>
                <w:color w:val="auto"/>
              </w:rPr>
            </w:pPr>
            <w:r>
              <w:rPr>
                <w:rFonts w:ascii="Arial" w:cs="Arial" w:eastAsia="Arial" w:hAnsi="Arial"/>
                <w:sz w:val="18"/>
                <w:szCs w:val="18"/>
                <w:color w:val="auto"/>
              </w:rPr>
              <w:t>Other operating expenses</w:t>
            </w:r>
          </w:p>
        </w:tc>
        <w:tc>
          <w:tcPr>
            <w:tcW w:w="280" w:type="dxa"/>
            <w:vAlign w:val="bottom"/>
          </w:tcPr>
          <w:p>
            <w:pPr>
              <w:spacing w:after="0"/>
              <w:rPr>
                <w:sz w:val="21"/>
                <w:szCs w:val="21"/>
                <w:color w:val="auto"/>
              </w:rPr>
            </w:pPr>
          </w:p>
        </w:tc>
        <w:tc>
          <w:tcPr>
            <w:tcW w:w="840" w:type="dxa"/>
            <w:vAlign w:val="bottom"/>
          </w:tcPr>
          <w:p>
            <w:pPr>
              <w:jc w:val="right"/>
              <w:ind w:right="53"/>
              <w:spacing w:after="0"/>
              <w:rPr>
                <w:sz w:val="20"/>
                <w:szCs w:val="20"/>
                <w:color w:val="auto"/>
              </w:rPr>
            </w:pPr>
            <w:r>
              <w:rPr>
                <w:rFonts w:ascii="Arial" w:cs="Arial" w:eastAsia="Arial" w:hAnsi="Arial"/>
                <w:sz w:val="18"/>
                <w:szCs w:val="18"/>
                <w:color w:val="auto"/>
              </w:rPr>
              <w:t>293.9</w:t>
            </w: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5.7</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239.6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5.3</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22.7 %</w:t>
            </w:r>
          </w:p>
        </w:tc>
      </w:tr>
      <w:tr>
        <w:trPr>
          <w:trHeight w:val="250"/>
        </w:trPr>
        <w:tc>
          <w:tcPr>
            <w:tcW w:w="5240" w:type="dxa"/>
            <w:vAlign w:val="bottom"/>
            <w:tcBorders>
              <w:bottom w:val="single" w:sz="8" w:color="CFF0FC"/>
            </w:tcBorders>
            <w:gridSpan w:val="2"/>
          </w:tcPr>
          <w:p>
            <w:pPr>
              <w:ind w:left="200"/>
              <w:spacing w:after="0"/>
              <w:rPr>
                <w:sz w:val="20"/>
                <w:szCs w:val="20"/>
                <w:color w:val="auto"/>
              </w:rPr>
            </w:pPr>
            <w:r>
              <w:rPr>
                <w:rFonts w:ascii="Arial" w:cs="Arial" w:eastAsia="Arial" w:hAnsi="Arial"/>
                <w:sz w:val="18"/>
                <w:szCs w:val="18"/>
                <w:color w:val="auto"/>
              </w:rPr>
              <w:t>(Gains) Losses on property disposals, net</w:t>
            </w:r>
          </w:p>
        </w:tc>
        <w:tc>
          <w:tcPr>
            <w:tcW w:w="2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FF0FC"/>
            </w:tcBorders>
          </w:tcPr>
          <w:p>
            <w:pPr>
              <w:spacing w:after="0"/>
              <w:rPr>
                <w:sz w:val="21"/>
                <w:szCs w:val="21"/>
                <w:color w:val="auto"/>
              </w:rPr>
            </w:pPr>
          </w:p>
        </w:tc>
        <w:tc>
          <w:tcPr>
            <w:tcW w:w="1040" w:type="dxa"/>
            <w:vAlign w:val="bottom"/>
            <w:tcBorders>
              <w:bottom w:val="single" w:sz="8" w:color="CFF0FC"/>
            </w:tcBorders>
          </w:tcPr>
          <w:p>
            <w:pPr>
              <w:jc w:val="right"/>
              <w:ind w:right="31"/>
              <w:spacing w:after="0"/>
              <w:rPr>
                <w:sz w:val="20"/>
                <w:szCs w:val="20"/>
                <w:color w:val="auto"/>
              </w:rPr>
            </w:pPr>
            <w:r>
              <w:rPr>
                <w:rFonts w:ascii="Arial" w:cs="Arial" w:eastAsia="Arial" w:hAnsi="Arial"/>
                <w:sz w:val="18"/>
                <w:szCs w:val="18"/>
                <w:color w:val="auto"/>
              </w:rPr>
              <w:t>0.0</w:t>
            </w:r>
          </w:p>
        </w:tc>
        <w:tc>
          <w:tcPr>
            <w:tcW w:w="14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(45.3 )</w:t>
            </w:r>
          </w:p>
        </w:tc>
        <w:tc>
          <w:tcPr>
            <w:tcW w:w="100" w:type="dxa"/>
            <w:vAlign w:val="bottom"/>
            <w:tcBorders>
              <w:bottom w:val="single" w:sz="8" w:color="CFF0FC"/>
            </w:tcBorders>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NM*</w:t>
            </w:r>
          </w:p>
        </w:tc>
      </w:tr>
      <w:tr>
        <w:trPr>
          <w:trHeight w:val="243"/>
        </w:trPr>
        <w:tc>
          <w:tcPr>
            <w:tcW w:w="5240" w:type="dxa"/>
            <w:vAlign w:val="bottom"/>
            <w:tcBorders>
              <w:bottom w:val="single" w:sz="8" w:color="CFF0FC"/>
            </w:tcBorders>
            <w:gridSpan w:val="2"/>
            <w:shd w:val="clear" w:color="auto" w:fill="CFF0FC"/>
          </w:tcPr>
          <w:p>
            <w:pPr>
              <w:ind w:left="38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5,018.2</w:t>
            </w:r>
          </w:p>
        </w:tc>
        <w:tc>
          <w:tcPr>
            <w:tcW w:w="12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ind w:right="31"/>
              <w:spacing w:after="0"/>
              <w:rPr>
                <w:sz w:val="20"/>
                <w:szCs w:val="20"/>
                <w:color w:val="auto"/>
              </w:rPr>
            </w:pPr>
            <w:r>
              <w:rPr>
                <w:rFonts w:ascii="Arial" w:cs="Arial" w:eastAsia="Arial" w:hAnsi="Arial"/>
                <w:sz w:val="18"/>
                <w:szCs w:val="18"/>
                <w:color w:val="auto"/>
              </w:rPr>
              <w:t>98.0</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4,457.2</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98.7</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12.6 %</w:t>
            </w:r>
          </w:p>
        </w:tc>
      </w:tr>
      <w:tr>
        <w:trPr>
          <w:trHeight w:val="236"/>
        </w:trPr>
        <w:tc>
          <w:tcPr>
            <w:tcW w:w="5240" w:type="dxa"/>
            <w:vAlign w:val="bottom"/>
            <w:gridSpan w:val="2"/>
          </w:tcPr>
          <w:p>
            <w:pPr>
              <w:ind w:left="560"/>
              <w:spacing w:after="0"/>
              <w:rPr>
                <w:sz w:val="20"/>
                <w:szCs w:val="20"/>
                <w:color w:val="auto"/>
              </w:rPr>
            </w:pPr>
            <w:r>
              <w:rPr>
                <w:rFonts w:ascii="Arial" w:cs="Arial" w:eastAsia="Arial" w:hAnsi="Arial"/>
                <w:sz w:val="18"/>
                <w:szCs w:val="18"/>
                <w:b w:val="1"/>
                <w:bCs w:val="1"/>
                <w:color w:val="auto"/>
              </w:rPr>
              <w:t>Operating Income</w:t>
            </w: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103.6</w:t>
            </w:r>
          </w:p>
        </w:tc>
        <w:tc>
          <w:tcPr>
            <w:tcW w:w="120" w:type="dxa"/>
            <w:vAlign w:val="bottom"/>
          </w:tcPr>
          <w:p>
            <w:pPr>
              <w:spacing w:after="0"/>
              <w:rPr>
                <w:sz w:val="20"/>
                <w:szCs w:val="20"/>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56.5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NM*</w:t>
            </w:r>
          </w:p>
        </w:tc>
      </w:tr>
      <w:tr>
        <w:trPr>
          <w:trHeight w:val="236"/>
        </w:trPr>
        <w:tc>
          <w:tcPr>
            <w:tcW w:w="5240" w:type="dxa"/>
            <w:vAlign w:val="bottom"/>
            <w:gridSpan w:val="2"/>
            <w:shd w:val="clear" w:color="auto" w:fill="CFF0FC"/>
          </w:tcPr>
          <w:p>
            <w:pPr>
              <w:ind w:left="20"/>
              <w:spacing w:after="0"/>
              <w:rPr>
                <w:sz w:val="20"/>
                <w:szCs w:val="20"/>
                <w:color w:val="auto"/>
              </w:rPr>
            </w:pPr>
            <w:r>
              <w:rPr>
                <w:rFonts w:ascii="Arial" w:cs="Arial" w:eastAsia="Arial" w:hAnsi="Arial"/>
                <w:sz w:val="18"/>
                <w:szCs w:val="18"/>
                <w:b w:val="1"/>
                <w:bCs w:val="1"/>
                <w:color w:val="auto"/>
              </w:rPr>
              <w:t>Nonoperating Expenses:</w:t>
            </w:r>
          </w:p>
        </w:tc>
        <w:tc>
          <w:tcPr>
            <w:tcW w:w="28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5240" w:type="dxa"/>
            <w:vAlign w:val="bottom"/>
            <w:gridSpan w:val="2"/>
          </w:tcPr>
          <w:p>
            <w:pPr>
              <w:ind w:left="380"/>
              <w:spacing w:after="0"/>
              <w:rPr>
                <w:sz w:val="20"/>
                <w:szCs w:val="20"/>
                <w:color w:val="auto"/>
              </w:rPr>
            </w:pPr>
            <w:r>
              <w:rPr>
                <w:rFonts w:ascii="Arial" w:cs="Arial" w:eastAsia="Arial" w:hAnsi="Arial"/>
                <w:sz w:val="18"/>
                <w:szCs w:val="18"/>
                <w:color w:val="auto"/>
              </w:rPr>
              <w:t>Nonoperating expenses, net</w:t>
            </w:r>
          </w:p>
        </w:tc>
        <w:tc>
          <w:tcPr>
            <w:tcW w:w="2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209.6</w:t>
            </w: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129.6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2.9</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61.7 %</w:t>
            </w:r>
          </w:p>
        </w:tc>
      </w:tr>
      <w:tr>
        <w:trPr>
          <w:trHeight w:val="224"/>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Loss before income taxes</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(106.0 )</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(2.1 )</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(73.1 )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(1.6 )</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45.0 %</w:t>
            </w:r>
          </w:p>
        </w:tc>
      </w:tr>
      <w:tr>
        <w:trPr>
          <w:trHeight w:val="255"/>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Income tax expense (benefit)</w:t>
            </w: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2"/>
                <w:szCs w:val="22"/>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(19.6 )</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(0.4 )</w:t>
            </w:r>
          </w:p>
        </w:tc>
        <w:tc>
          <w:tcPr>
            <w:tcW w:w="100" w:type="dxa"/>
            <w:vAlign w:val="bottom"/>
          </w:tcPr>
          <w:p>
            <w:pPr>
              <w:spacing w:after="0"/>
              <w:rPr>
                <w:sz w:val="22"/>
                <w:szCs w:val="22"/>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NM*</w:t>
            </w:r>
          </w:p>
        </w:tc>
      </w:tr>
      <w:tr>
        <w:trPr>
          <w:trHeight w:val="236"/>
        </w:trPr>
        <w:tc>
          <w:tcPr>
            <w:tcW w:w="5240" w:type="dxa"/>
            <w:vAlign w:val="bottom"/>
            <w:gridSpan w:val="2"/>
          </w:tcPr>
          <w:p>
            <w:pPr>
              <w:ind w:left="200"/>
              <w:spacing w:after="0"/>
              <w:rPr>
                <w:sz w:val="20"/>
                <w:szCs w:val="20"/>
                <w:color w:val="auto"/>
              </w:rPr>
            </w:pPr>
            <w:r>
              <w:rPr>
                <w:rFonts w:ascii="Arial" w:cs="Arial" w:eastAsia="Arial" w:hAnsi="Arial"/>
                <w:sz w:val="18"/>
                <w:szCs w:val="18"/>
                <w:b w:val="1"/>
                <w:bCs w:val="1"/>
                <w:color w:val="auto"/>
              </w:rPr>
              <w:t>Net Loss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(109.1 )</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(2.1 )</w:t>
            </w:r>
          </w:p>
        </w:tc>
        <w:tc>
          <w:tcPr>
            <w:tcW w:w="14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(1.2 )</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103.9 %</w:t>
            </w:r>
          </w:p>
        </w:tc>
      </w:tr>
      <w:tr>
        <w:trPr>
          <w:trHeight w:val="20"/>
        </w:trPr>
        <w:tc>
          <w:tcPr>
            <w:tcW w:w="5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-2379980</wp:posOffset>
            </wp:positionV>
            <wp:extent cx="7132320" cy="1543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-2071370</wp:posOffset>
            </wp:positionV>
            <wp:extent cx="7132320" cy="1543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-1763395</wp:posOffset>
            </wp:positionV>
            <wp:extent cx="7132320" cy="1543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-1454785</wp:posOffset>
            </wp:positionV>
            <wp:extent cx="7132320" cy="1543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-1159510</wp:posOffset>
            </wp:positionV>
            <wp:extent cx="7132320" cy="3467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3467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-495935</wp:posOffset>
            </wp:positionV>
            <wp:extent cx="7132320" cy="1543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 not meaningful</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ind w:right="60"/>
        <w:spacing w:after="0" w:line="270" w:lineRule="auto"/>
        <w:rPr>
          <w:sz w:val="20"/>
          <w:szCs w:val="20"/>
          <w:color w:val="auto"/>
        </w:rPr>
      </w:pPr>
      <w:r>
        <w:rPr>
          <w:rFonts w:ascii="Arial" w:cs="Arial" w:eastAsia="Arial" w:hAnsi="Arial"/>
          <w:sz w:val="17"/>
          <w:szCs w:val="17"/>
          <w:color w:val="auto"/>
        </w:rPr>
        <w:t>The industry in 2021 was in a tight capacity environment with fewer drivers available to meet shipping demands, which has led to price increases charged to customers and an increase in the cost of purchased transportation. During 2021, especially during the second half, the Company executed a yield strategy to achieve appropriate pricing per shipment for freight that optimized our network capacity. The execution of this strategy led to increased revenue per shipment and decreased shipment counts. The Company’s yield growth, including fuel surcharges, produced a consolidated operating revenue increase of $608.1 million compared to 2020, with an internal focus of retaining the optimal freight mix relative to human capital availability throughout 2021. Partially offsetting the positive yield growth, the Company experienced shipping volume decreases compared to 2020. Further, the results of operations in 2020 were impacted by the outbreak of COVID-19 as shipping volumes decreased from typical levels and negatively impacted the pricing environment at certain times and in certain markets.</w:t>
      </w:r>
    </w:p>
    <w:p>
      <w:pPr>
        <w:spacing w:after="0" w:line="142"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The Company’s results reflect these yield growth-driven revenue increases partially offset by increased purchased transportation expenses, fuel expense and variable expenses including salaries, wages and benefits. Further material changes are provided below.</w:t>
      </w:r>
    </w:p>
    <w:p>
      <w:pPr>
        <w:spacing w:after="0" w:line="142"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i w:val="1"/>
          <w:iCs w:val="1"/>
          <w:color w:val="auto"/>
        </w:rPr>
        <w:t xml:space="preserve">Salaries, wages and employee benefits. </w:t>
      </w:r>
      <w:r>
        <w:rPr>
          <w:rFonts w:ascii="Arial" w:cs="Arial" w:eastAsia="Arial" w:hAnsi="Arial"/>
          <w:sz w:val="18"/>
          <w:szCs w:val="18"/>
          <w:color w:val="auto"/>
        </w:rPr>
        <w:t>Salaries, wages and employee benefits increased $151.6 million primarily due to contractual wage rate increases</w:t>
      </w:r>
      <w:r>
        <w:rPr>
          <w:rFonts w:ascii="Arial" w:cs="Arial" w:eastAsia="Arial" w:hAnsi="Arial"/>
          <w:sz w:val="18"/>
          <w:szCs w:val="18"/>
          <w:i w:val="1"/>
          <w:iCs w:val="1"/>
          <w:color w:val="auto"/>
        </w:rPr>
        <w:t xml:space="preserve"> </w:t>
      </w:r>
      <w:r>
        <w:rPr>
          <w:rFonts w:ascii="Arial" w:cs="Arial" w:eastAsia="Arial" w:hAnsi="Arial"/>
          <w:sz w:val="18"/>
          <w:szCs w:val="18"/>
          <w:color w:val="auto"/>
        </w:rPr>
        <w:t>and to a lesser extent salary and overtime wage increases. Additionally, there was an increase of $30.9 million in short-term incentive compensation predominantly for exceeding targeted financial results in 2021 and an increase of $29.0 million in employee benefits that corresponded with medical plan spending and other benefit cost trends.</w:t>
      </w:r>
    </w:p>
    <w:p>
      <w:pPr>
        <w:spacing w:after="0" w:line="145"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i w:val="1"/>
          <w:iCs w:val="1"/>
          <w:color w:val="auto"/>
        </w:rPr>
        <w:t xml:space="preserve">Fuel, operating expenses and supplies. </w:t>
      </w:r>
      <w:r>
        <w:rPr>
          <w:rFonts w:ascii="Arial" w:cs="Arial" w:eastAsia="Arial" w:hAnsi="Arial"/>
          <w:sz w:val="18"/>
          <w:szCs w:val="18"/>
          <w:color w:val="auto"/>
        </w:rPr>
        <w:t>Fuel, operating expenses and supplies increased $139.0 million, primarily due to a $78.1 million increase in fuel</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which was a result of higher fuel prices partially offset by fewer miles driven. Additional increases included a $14.6 million increase in software expenses and other operating expenses, a $12.6 million increase for rebranding and other advertising expenses, a $10.5 million increase for travel and entertainment in other employee expenses and a $10.1 million increase in professional services. The majority of these increases were impacted by cost control measures which decreased variable expenses during 2020.</w:t>
      </w:r>
    </w:p>
    <w:p>
      <w:pPr>
        <w:spacing w:after="0" w:line="150"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i w:val="1"/>
          <w:iCs w:val="1"/>
          <w:color w:val="auto"/>
        </w:rPr>
        <w:t xml:space="preserve">Purchased transportation. </w:t>
      </w:r>
      <w:r>
        <w:rPr>
          <w:rFonts w:ascii="Arial" w:cs="Arial" w:eastAsia="Arial" w:hAnsi="Arial"/>
          <w:sz w:val="18"/>
          <w:szCs w:val="18"/>
          <w:color w:val="auto"/>
        </w:rPr>
        <w:t>Purchased transportation increased $161.4 million primarily due to significant rate increases as noted above. These increases</w:t>
      </w:r>
      <w:r>
        <w:rPr>
          <w:rFonts w:ascii="Arial" w:cs="Arial" w:eastAsia="Arial" w:hAnsi="Arial"/>
          <w:sz w:val="18"/>
          <w:szCs w:val="18"/>
          <w:i w:val="1"/>
          <w:iCs w:val="1"/>
          <w:color w:val="auto"/>
        </w:rPr>
        <w:t xml:space="preserve"> </w:t>
      </w:r>
      <w:r>
        <w:rPr>
          <w:rFonts w:ascii="Arial" w:cs="Arial" w:eastAsia="Arial" w:hAnsi="Arial"/>
          <w:sz w:val="18"/>
          <w:szCs w:val="18"/>
          <w:color w:val="auto"/>
        </w:rPr>
        <w:t>were noted in most of our modes of purchased transportation and include a $50.6 million increase in rail purchased transportation expense, a $50.5 million increase in over-the-road purchased transportation expense and a $49.3 million increase in third-party costs due to the growth in customer-specific logistics solutions. These increases were partially offset by a decrease in vehicle rentals.</w:t>
      </w:r>
    </w:p>
    <w:p>
      <w:pPr>
        <w:spacing w:after="0" w:line="18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449" w:right="279" w:bottom="1440" w:gutter="0" w:footer="0" w:header="0"/>
        </w:sectPr>
      </w:pPr>
    </w:p>
    <w:bookmarkStart w:id="26" w:name="page27"/>
    <w:bookmarkEnd w:id="26"/>
    <w:p>
      <w:pPr>
        <w:jc w:val="both"/>
        <w:spacing w:after="0" w:line="277" w:lineRule="auto"/>
        <w:rPr>
          <w:sz w:val="20"/>
          <w:szCs w:val="20"/>
          <w:color w:val="auto"/>
        </w:rPr>
      </w:pPr>
      <w:r>
        <w:rPr>
          <w:rFonts w:ascii="Arial" w:cs="Arial" w:eastAsia="Arial" w:hAnsi="Arial"/>
          <w:sz w:val="18"/>
          <w:szCs w:val="18"/>
          <w:i w:val="1"/>
          <w:iCs w:val="1"/>
          <w:color w:val="auto"/>
        </w:rPr>
        <w:t xml:space="preserve">Other operating expenses. </w:t>
      </w:r>
      <w:r>
        <w:rPr>
          <w:rFonts w:ascii="Arial" w:cs="Arial" w:eastAsia="Arial" w:hAnsi="Arial"/>
          <w:sz w:val="18"/>
          <w:szCs w:val="18"/>
          <w:color w:val="auto"/>
        </w:rPr>
        <w:t>Other operating expenses increased $54.3 million primarily due to a $38.8 million increase in third-party liability claims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mostly due to unfavorable development of prior year claims and a $13.4 million increase in cargo claims expense.</w:t>
      </w:r>
    </w:p>
    <w:p>
      <w:pPr>
        <w:spacing w:after="0" w:line="14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Gains on property disposals, net. </w:t>
      </w:r>
      <w:r>
        <w:rPr>
          <w:rFonts w:ascii="Arial" w:cs="Arial" w:eastAsia="Arial" w:hAnsi="Arial"/>
          <w:sz w:val="18"/>
          <w:szCs w:val="18"/>
          <w:color w:val="auto"/>
        </w:rPr>
        <w:t>Net losses on disposals of property were $0.7 million during 2021 as compared to net gains of $45.3 million in 2020</w:t>
      </w:r>
      <w:r>
        <w:rPr>
          <w:rFonts w:ascii="Arial" w:cs="Arial" w:eastAsia="Arial" w:hAnsi="Arial"/>
          <w:sz w:val="18"/>
          <w:szCs w:val="18"/>
          <w:i w:val="1"/>
          <w:iCs w:val="1"/>
          <w:color w:val="auto"/>
        </w:rPr>
        <w:t xml:space="preserve"> </w:t>
      </w:r>
      <w:r>
        <w:rPr>
          <w:rFonts w:ascii="Arial" w:cs="Arial" w:eastAsia="Arial" w:hAnsi="Arial"/>
          <w:sz w:val="18"/>
          <w:szCs w:val="18"/>
          <w:color w:val="auto"/>
        </w:rPr>
        <w:t>which were primarily related to the sale of real properties.</w:t>
      </w:r>
    </w:p>
    <w:p>
      <w:pPr>
        <w:spacing w:after="0" w:line="1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 xml:space="preserve">Nonoperating expense, net. </w:t>
      </w:r>
      <w:r>
        <w:rPr>
          <w:rFonts w:ascii="Arial" w:cs="Arial" w:eastAsia="Arial" w:hAnsi="Arial"/>
          <w:sz w:val="18"/>
          <w:szCs w:val="18"/>
          <w:color w:val="auto"/>
        </w:rPr>
        <w:t>Included in the overall increase of $80.0 million is an increase in non-union pension settlement charges and an increase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expenses. Non-union pension settlement charges increased $61.1 million, primarily due to a partial pension annuitization during December 2021 that resulted in a non-cash settlement charge of approximately $54.9 million. Interest expense increased $14.8 million, primarily due to a $24.1 million increase in interest and associated amortization related to the UST Loans entered into during July 2020 which was partially offset by a $15.9 million decrease in Term Loan interest.</w:t>
      </w:r>
    </w:p>
    <w:p>
      <w:pPr>
        <w:spacing w:after="0" w:line="15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Income tax. </w:t>
      </w:r>
      <w:r>
        <w:rPr>
          <w:rFonts w:ascii="Arial" w:cs="Arial" w:eastAsia="Arial" w:hAnsi="Arial"/>
          <w:sz w:val="17"/>
          <w:szCs w:val="17"/>
          <w:color w:val="auto"/>
        </w:rPr>
        <w:t>The Company’s effective tax rate for the years ended December 31, 2021 and 2020 was (2.9)% and 26.8%, respectively. The primary driver of</w:t>
      </w:r>
      <w:r>
        <w:rPr>
          <w:rFonts w:ascii="Arial" w:cs="Arial" w:eastAsia="Arial" w:hAnsi="Arial"/>
          <w:sz w:val="17"/>
          <w:szCs w:val="17"/>
          <w:i w:val="1"/>
          <w:iCs w:val="1"/>
          <w:color w:val="auto"/>
        </w:rPr>
        <w:t xml:space="preserve"> </w:t>
      </w:r>
      <w:r>
        <w:rPr>
          <w:rFonts w:ascii="Arial" w:cs="Arial" w:eastAsia="Arial" w:hAnsi="Arial"/>
          <w:sz w:val="17"/>
          <w:szCs w:val="17"/>
          <w:color w:val="auto"/>
        </w:rPr>
        <w:t>our 2021 effective tax rate differing from the domestic federal statutory tax rate was the change in valuation allowance established for our domestic net deferred tax asset balance as of December 31, 2021. The 2021 effective tax rate was not impacted by the exception to intraperiod tax allocation in a similar manner as the 2020 effective tax rate due to the Company’s adoption of the change to the relevant accounting standard on January 1, 2021, as further discussed in Note 8 to the consolidated financial statements included in Part II, Item 8 of this Annual Report on Form 10-K. As of December 31, 2021 and 2020, the Company had a full valuation allowance against our domestic net deferred tax assets.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key revenue metrics for the years ended December 31:</w:t>
      </w:r>
    </w:p>
    <w:p>
      <w:pPr>
        <w:spacing w:after="0" w:line="21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vMerge w:val="restart"/>
          </w:tcPr>
          <w:p>
            <w:pPr>
              <w:jc w:val="right"/>
              <w:ind w:right="471"/>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vMerge w:val="restart"/>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89"/>
        </w:trPr>
        <w:tc>
          <w:tcPr>
            <w:tcW w:w="7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tcPr>
          <w:p>
            <w:pPr>
              <w:jc w:val="right"/>
              <w:ind w:right="240"/>
              <w:spacing w:after="0" w:line="189" w:lineRule="exact"/>
              <w:rPr>
                <w:sz w:val="20"/>
                <w:szCs w:val="20"/>
                <w:color w:val="auto"/>
              </w:rPr>
            </w:pPr>
            <w:r>
              <w:rPr>
                <w:rFonts w:ascii="Arial" w:cs="Arial" w:eastAsia="Arial" w:hAnsi="Arial"/>
                <w:sz w:val="14"/>
                <w:szCs w:val="14"/>
                <w:b w:val="1"/>
                <w:bCs w:val="1"/>
                <w:color w:val="auto"/>
              </w:rPr>
              <w:t>Change</w:t>
            </w:r>
            <w:r>
              <w:rPr>
                <w:rFonts w:ascii="Arial" w:cs="Arial" w:eastAsia="Arial" w:hAnsi="Arial"/>
                <w:sz w:val="19"/>
                <w:szCs w:val="19"/>
                <w:b w:val="1"/>
                <w:bCs w:val="1"/>
                <w:color w:val="auto"/>
                <w:vertAlign w:val="superscript"/>
              </w:rPr>
              <w:t>(a)</w:t>
            </w:r>
          </w:p>
        </w:tc>
        <w:tc>
          <w:tcPr>
            <w:tcW w:w="0" w:type="dxa"/>
            <w:vAlign w:val="bottom"/>
          </w:tcPr>
          <w:p>
            <w:pPr>
              <w:spacing w:after="0"/>
              <w:rPr>
                <w:sz w:val="1"/>
                <w:szCs w:val="1"/>
                <w:color w:val="auto"/>
              </w:rPr>
            </w:pPr>
          </w:p>
        </w:tc>
      </w:tr>
      <w:tr>
        <w:trPr>
          <w:trHeight w:val="236"/>
        </w:trPr>
        <w:tc>
          <w:tcPr>
            <w:tcW w:w="72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Workdays</w:t>
            </w:r>
          </w:p>
        </w:tc>
        <w:tc>
          <w:tcPr>
            <w:tcW w:w="8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252.0</w:t>
            </w:r>
          </w:p>
        </w:tc>
        <w:tc>
          <w:tcPr>
            <w:tcW w:w="8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253.0</w:t>
            </w:r>
          </w:p>
        </w:tc>
        <w:tc>
          <w:tcPr>
            <w:tcW w:w="80" w:type="dxa"/>
            <w:vAlign w:val="bottom"/>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Ratio</w:t>
            </w:r>
          </w:p>
        </w:tc>
        <w:tc>
          <w:tcPr>
            <w:tcW w:w="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98.0</w:t>
            </w:r>
          </w:p>
        </w:tc>
        <w:tc>
          <w:tcPr>
            <w:tcW w:w="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98.7</w:t>
            </w:r>
          </w:p>
        </w:tc>
        <w:tc>
          <w:tcPr>
            <w:tcW w:w="8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62"/>
              <w:spacing w:after="0"/>
              <w:rPr>
                <w:sz w:val="20"/>
                <w:szCs w:val="20"/>
                <w:color w:val="auto"/>
              </w:rPr>
            </w:pPr>
            <w:r>
              <w:rPr>
                <w:rFonts w:ascii="Arial" w:cs="Arial" w:eastAsia="Arial" w:hAnsi="Arial"/>
                <w:sz w:val="18"/>
                <w:szCs w:val="18"/>
                <w:color w:val="auto"/>
              </w:rPr>
              <w:t>0.7 pp</w:t>
            </w:r>
          </w:p>
        </w:tc>
        <w:tc>
          <w:tcPr>
            <w:tcW w:w="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688"/>
        </w:trPr>
        <w:tc>
          <w:tcPr>
            <w:tcW w:w="7260" w:type="dxa"/>
            <w:vAlign w:val="bottom"/>
          </w:tcPr>
          <w:p>
            <w:pPr>
              <w:ind w:left="20"/>
              <w:spacing w:after="0"/>
              <w:rPr>
                <w:sz w:val="20"/>
                <w:szCs w:val="20"/>
                <w:color w:val="auto"/>
              </w:rPr>
            </w:pPr>
            <w:r>
              <w:rPr>
                <w:rFonts w:ascii="Arial" w:cs="Arial" w:eastAsia="Arial" w:hAnsi="Arial"/>
                <w:sz w:val="18"/>
                <w:szCs w:val="18"/>
                <w:color w:val="auto"/>
              </w:rPr>
              <w:t>LTL picked up revenue (in millions)</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4,615.2</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4,100.1</w:t>
            </w: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12.6 %</w:t>
            </w:r>
          </w:p>
        </w:tc>
        <w:tc>
          <w:tcPr>
            <w:tcW w:w="0" w:type="dxa"/>
            <w:vAlign w:val="bottom"/>
          </w:tcPr>
          <w:p>
            <w:pPr>
              <w:spacing w:after="0"/>
              <w:rPr>
                <w:sz w:val="1"/>
                <w:szCs w:val="1"/>
                <w:color w:val="auto"/>
              </w:rPr>
            </w:pPr>
          </w:p>
        </w:tc>
      </w:tr>
      <w:tr>
        <w:trPr>
          <w:trHeight w:val="243"/>
        </w:trPr>
        <w:tc>
          <w:tcPr>
            <w:tcW w:w="7260" w:type="dxa"/>
            <w:vAlign w:val="bottom"/>
          </w:tcPr>
          <w:p>
            <w:pPr>
              <w:ind w:left="20"/>
              <w:spacing w:after="0"/>
              <w:rPr>
                <w:sz w:val="20"/>
                <w:szCs w:val="20"/>
                <w:color w:val="auto"/>
              </w:rPr>
            </w:pPr>
            <w:r>
              <w:rPr>
                <w:rFonts w:ascii="Arial" w:cs="Arial" w:eastAsia="Arial" w:hAnsi="Arial"/>
                <w:sz w:val="18"/>
                <w:szCs w:val="18"/>
                <w:color w:val="auto"/>
              </w:rPr>
              <w:t>LTL tonnage (in thousands)</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9,520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9,845</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43"/>
        </w:trPr>
        <w:tc>
          <w:tcPr>
            <w:tcW w:w="7260" w:type="dxa"/>
            <w:vAlign w:val="bottom"/>
          </w:tcPr>
          <w:p>
            <w:pPr>
              <w:ind w:left="20"/>
              <w:spacing w:after="0"/>
              <w:rPr>
                <w:sz w:val="20"/>
                <w:szCs w:val="20"/>
                <w:color w:val="auto"/>
              </w:rPr>
            </w:pPr>
            <w:r>
              <w:rPr>
                <w:rFonts w:ascii="Arial" w:cs="Arial" w:eastAsia="Arial" w:hAnsi="Arial"/>
                <w:sz w:val="18"/>
                <w:szCs w:val="18"/>
                <w:color w:val="auto"/>
              </w:rPr>
              <w:t>LTL tonnage per workday (in thousands)</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37.78</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38.91</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43"/>
        </w:trPr>
        <w:tc>
          <w:tcPr>
            <w:tcW w:w="7260" w:type="dxa"/>
            <w:vAlign w:val="bottom"/>
          </w:tcPr>
          <w:p>
            <w:pPr>
              <w:ind w:left="20"/>
              <w:spacing w:after="0"/>
              <w:rPr>
                <w:sz w:val="20"/>
                <w:szCs w:val="20"/>
                <w:color w:val="auto"/>
              </w:rPr>
            </w:pPr>
            <w:r>
              <w:rPr>
                <w:rFonts w:ascii="Arial" w:cs="Arial" w:eastAsia="Arial" w:hAnsi="Arial"/>
                <w:sz w:val="18"/>
                <w:szCs w:val="18"/>
                <w:color w:val="auto"/>
              </w:rPr>
              <w:t>LTL shipments (in thousands)</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16,707</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16,982</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43"/>
        </w:trPr>
        <w:tc>
          <w:tcPr>
            <w:tcW w:w="7260" w:type="dxa"/>
            <w:vAlign w:val="bottom"/>
          </w:tcPr>
          <w:p>
            <w:pPr>
              <w:ind w:left="20"/>
              <w:spacing w:after="0"/>
              <w:rPr>
                <w:sz w:val="20"/>
                <w:szCs w:val="20"/>
                <w:color w:val="auto"/>
              </w:rPr>
            </w:pPr>
            <w:r>
              <w:rPr>
                <w:rFonts w:ascii="Arial" w:cs="Arial" w:eastAsia="Arial" w:hAnsi="Arial"/>
                <w:sz w:val="18"/>
                <w:szCs w:val="18"/>
                <w:color w:val="auto"/>
              </w:rPr>
              <w:t>LTL shipments per workday (in thousands)</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66.30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67.12</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43"/>
        </w:trPr>
        <w:tc>
          <w:tcPr>
            <w:tcW w:w="7260" w:type="dxa"/>
            <w:vAlign w:val="bottom"/>
          </w:tcPr>
          <w:p>
            <w:pPr>
              <w:ind w:left="20"/>
              <w:spacing w:after="0"/>
              <w:rPr>
                <w:sz w:val="20"/>
                <w:szCs w:val="20"/>
                <w:color w:val="auto"/>
              </w:rPr>
            </w:pPr>
            <w:r>
              <w:rPr>
                <w:rFonts w:ascii="Arial" w:cs="Arial" w:eastAsia="Arial" w:hAnsi="Arial"/>
                <w:sz w:val="18"/>
                <w:szCs w:val="18"/>
                <w:color w:val="auto"/>
              </w:rPr>
              <w:t>LTL picked up revenue per hundred weight</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24.24</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20.82</w:t>
            </w: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16.4 %</w:t>
            </w:r>
          </w:p>
        </w:tc>
        <w:tc>
          <w:tcPr>
            <w:tcW w:w="0" w:type="dxa"/>
            <w:vAlign w:val="bottom"/>
          </w:tcPr>
          <w:p>
            <w:pPr>
              <w:spacing w:after="0"/>
              <w:rPr>
                <w:sz w:val="1"/>
                <w:szCs w:val="1"/>
                <w:color w:val="auto"/>
              </w:rPr>
            </w:pPr>
          </w:p>
        </w:tc>
      </w:tr>
      <w:tr>
        <w:trPr>
          <w:trHeight w:val="243"/>
        </w:trPr>
        <w:tc>
          <w:tcPr>
            <w:tcW w:w="7260" w:type="dxa"/>
            <w:vAlign w:val="bottom"/>
          </w:tcPr>
          <w:p>
            <w:pPr>
              <w:ind w:left="20"/>
              <w:spacing w:after="0"/>
              <w:rPr>
                <w:sz w:val="20"/>
                <w:szCs w:val="20"/>
                <w:color w:val="auto"/>
              </w:rPr>
            </w:pPr>
            <w:r>
              <w:rPr>
                <w:rFonts w:ascii="Arial" w:cs="Arial" w:eastAsia="Arial" w:hAnsi="Arial"/>
                <w:sz w:val="18"/>
                <w:szCs w:val="18"/>
                <w:color w:val="auto"/>
              </w:rPr>
              <w:t>LTL picked up revenue per hundred weight (excluding fuel surcharge)</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21.12</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18.78</w:t>
            </w: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12.5 %</w:t>
            </w:r>
          </w:p>
        </w:tc>
        <w:tc>
          <w:tcPr>
            <w:tcW w:w="0" w:type="dxa"/>
            <w:vAlign w:val="bottom"/>
          </w:tcPr>
          <w:p>
            <w:pPr>
              <w:spacing w:after="0"/>
              <w:rPr>
                <w:sz w:val="1"/>
                <w:szCs w:val="1"/>
                <w:color w:val="auto"/>
              </w:rPr>
            </w:pPr>
          </w:p>
        </w:tc>
      </w:tr>
      <w:tr>
        <w:trPr>
          <w:trHeight w:val="243"/>
        </w:trPr>
        <w:tc>
          <w:tcPr>
            <w:tcW w:w="7260" w:type="dxa"/>
            <w:vAlign w:val="bottom"/>
          </w:tcPr>
          <w:p>
            <w:pPr>
              <w:ind w:left="20"/>
              <w:spacing w:after="0"/>
              <w:rPr>
                <w:sz w:val="20"/>
                <w:szCs w:val="20"/>
                <w:color w:val="auto"/>
              </w:rPr>
            </w:pPr>
            <w:r>
              <w:rPr>
                <w:rFonts w:ascii="Arial" w:cs="Arial" w:eastAsia="Arial" w:hAnsi="Arial"/>
                <w:sz w:val="18"/>
                <w:szCs w:val="18"/>
                <w:color w:val="auto"/>
              </w:rPr>
              <w:t>LTL picked up revenue per shipment</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276</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241</w:t>
            </w: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14.4 %</w:t>
            </w:r>
          </w:p>
        </w:tc>
        <w:tc>
          <w:tcPr>
            <w:tcW w:w="0" w:type="dxa"/>
            <w:vAlign w:val="bottom"/>
          </w:tcPr>
          <w:p>
            <w:pPr>
              <w:spacing w:after="0"/>
              <w:rPr>
                <w:sz w:val="1"/>
                <w:szCs w:val="1"/>
                <w:color w:val="auto"/>
              </w:rPr>
            </w:pPr>
          </w:p>
        </w:tc>
      </w:tr>
      <w:tr>
        <w:trPr>
          <w:trHeight w:val="243"/>
        </w:trPr>
        <w:tc>
          <w:tcPr>
            <w:tcW w:w="7260" w:type="dxa"/>
            <w:vAlign w:val="bottom"/>
          </w:tcPr>
          <w:p>
            <w:pPr>
              <w:ind w:left="20"/>
              <w:spacing w:after="0"/>
              <w:rPr>
                <w:sz w:val="20"/>
                <w:szCs w:val="20"/>
                <w:color w:val="auto"/>
              </w:rPr>
            </w:pPr>
            <w:r>
              <w:rPr>
                <w:rFonts w:ascii="Arial" w:cs="Arial" w:eastAsia="Arial" w:hAnsi="Arial"/>
                <w:sz w:val="18"/>
                <w:szCs w:val="18"/>
                <w:color w:val="auto"/>
              </w:rPr>
              <w:t>LTL picked up revenue per shipment (excluding fuel surcharge)</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241</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218</w:t>
            </w: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10.5 %</w:t>
            </w:r>
          </w:p>
        </w:tc>
        <w:tc>
          <w:tcPr>
            <w:tcW w:w="0" w:type="dxa"/>
            <w:vAlign w:val="bottom"/>
          </w:tcPr>
          <w:p>
            <w:pPr>
              <w:spacing w:after="0"/>
              <w:rPr>
                <w:sz w:val="1"/>
                <w:szCs w:val="1"/>
                <w:color w:val="auto"/>
              </w:rPr>
            </w:pPr>
          </w:p>
        </w:tc>
      </w:tr>
      <w:tr>
        <w:trPr>
          <w:trHeight w:val="249"/>
        </w:trPr>
        <w:tc>
          <w:tcPr>
            <w:tcW w:w="7260" w:type="dxa"/>
            <w:vAlign w:val="bottom"/>
          </w:tcPr>
          <w:p>
            <w:pPr>
              <w:ind w:left="20"/>
              <w:spacing w:after="0"/>
              <w:rPr>
                <w:sz w:val="20"/>
                <w:szCs w:val="20"/>
                <w:color w:val="auto"/>
              </w:rPr>
            </w:pPr>
            <w:r>
              <w:rPr>
                <w:rFonts w:ascii="Arial" w:cs="Arial" w:eastAsia="Arial" w:hAnsi="Arial"/>
                <w:sz w:val="18"/>
                <w:szCs w:val="18"/>
                <w:color w:val="auto"/>
              </w:rPr>
              <w:t>LTL weight per shipment (in pounds)</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1,140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1,159</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49"/>
        </w:trPr>
        <w:tc>
          <w:tcPr>
            <w:tcW w:w="7260" w:type="dxa"/>
            <w:vAlign w:val="bottom"/>
            <w:shd w:val="clear" w:color="auto" w:fill="CFF0FC"/>
          </w:tcPr>
          <w:p>
            <w:pPr>
              <w:spacing w:after="0"/>
              <w:rPr>
                <w:sz w:val="21"/>
                <w:szCs w:val="21"/>
                <w:color w:val="auto"/>
              </w:rPr>
            </w:pPr>
          </w:p>
        </w:tc>
        <w:tc>
          <w:tcPr>
            <w:tcW w:w="340" w:type="dxa"/>
            <w:vAlign w:val="bottom"/>
            <w:gridSpan w:val="2"/>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320" w:type="dxa"/>
            <w:vAlign w:val="bottom"/>
            <w:gridSpan w:val="2"/>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60" w:type="dxa"/>
            <w:vAlign w:val="bottom"/>
          </w:tcPr>
          <w:p>
            <w:pPr>
              <w:ind w:left="20"/>
              <w:spacing w:after="0" w:line="243" w:lineRule="exact"/>
              <w:rPr>
                <w:sz w:val="20"/>
                <w:szCs w:val="20"/>
                <w:color w:val="auto"/>
              </w:rPr>
            </w:pPr>
            <w:r>
              <w:rPr>
                <w:rFonts w:ascii="Arial" w:cs="Arial" w:eastAsia="Arial" w:hAnsi="Arial"/>
                <w:sz w:val="18"/>
                <w:szCs w:val="18"/>
                <w:color w:val="auto"/>
              </w:rPr>
              <w:t>Total picked up revenue (in millions)</w:t>
            </w:r>
            <w:r>
              <w:rPr>
                <w:rFonts w:ascii="Arial" w:cs="Arial" w:eastAsia="Arial" w:hAnsi="Arial"/>
                <w:sz w:val="24"/>
                <w:szCs w:val="24"/>
                <w:color w:val="auto"/>
                <w:vertAlign w:val="superscript"/>
              </w:rPr>
              <w:t>(b)</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5,077.7</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4,487.7</w:t>
            </w: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13.1 %</w:t>
            </w:r>
          </w:p>
        </w:tc>
        <w:tc>
          <w:tcPr>
            <w:tcW w:w="0" w:type="dxa"/>
            <w:vAlign w:val="bottom"/>
          </w:tcPr>
          <w:p>
            <w:pPr>
              <w:spacing w:after="0"/>
              <w:rPr>
                <w:sz w:val="1"/>
                <w:szCs w:val="1"/>
                <w:color w:val="auto"/>
              </w:rPr>
            </w:pPr>
          </w:p>
        </w:tc>
      </w:tr>
      <w:tr>
        <w:trPr>
          <w:trHeight w:val="230"/>
        </w:trPr>
        <w:tc>
          <w:tcPr>
            <w:tcW w:w="7260" w:type="dxa"/>
            <w:vAlign w:val="bottom"/>
          </w:tcPr>
          <w:p>
            <w:pPr>
              <w:ind w:left="20"/>
              <w:spacing w:after="0"/>
              <w:rPr>
                <w:sz w:val="20"/>
                <w:szCs w:val="20"/>
                <w:color w:val="auto"/>
              </w:rPr>
            </w:pPr>
            <w:r>
              <w:rPr>
                <w:rFonts w:ascii="Arial" w:cs="Arial" w:eastAsia="Arial" w:hAnsi="Arial"/>
                <w:sz w:val="18"/>
                <w:szCs w:val="18"/>
                <w:color w:val="auto"/>
              </w:rPr>
              <w:t>Total tonnage (in thousands)</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12,427</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12,589</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42"/>
        </w:trPr>
        <w:tc>
          <w:tcPr>
            <w:tcW w:w="7260" w:type="dxa"/>
            <w:vAlign w:val="bottom"/>
          </w:tcPr>
          <w:p>
            <w:pPr>
              <w:ind w:left="20"/>
              <w:spacing w:after="0"/>
              <w:rPr>
                <w:sz w:val="20"/>
                <w:szCs w:val="20"/>
                <w:color w:val="auto"/>
              </w:rPr>
            </w:pPr>
            <w:r>
              <w:rPr>
                <w:rFonts w:ascii="Arial" w:cs="Arial" w:eastAsia="Arial" w:hAnsi="Arial"/>
                <w:sz w:val="18"/>
                <w:szCs w:val="18"/>
                <w:color w:val="auto"/>
              </w:rPr>
              <w:t>Total tonnage per workday (in thousands)</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49.31</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49.76</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(0.9 )%</w:t>
            </w:r>
          </w:p>
        </w:tc>
        <w:tc>
          <w:tcPr>
            <w:tcW w:w="0" w:type="dxa"/>
            <w:vAlign w:val="bottom"/>
          </w:tcPr>
          <w:p>
            <w:pPr>
              <w:spacing w:after="0"/>
              <w:rPr>
                <w:sz w:val="1"/>
                <w:szCs w:val="1"/>
                <w:color w:val="auto"/>
              </w:rPr>
            </w:pPr>
          </w:p>
        </w:tc>
      </w:tr>
      <w:tr>
        <w:trPr>
          <w:trHeight w:val="243"/>
        </w:trPr>
        <w:tc>
          <w:tcPr>
            <w:tcW w:w="7260" w:type="dxa"/>
            <w:vAlign w:val="bottom"/>
          </w:tcPr>
          <w:p>
            <w:pPr>
              <w:ind w:left="20"/>
              <w:spacing w:after="0"/>
              <w:rPr>
                <w:sz w:val="20"/>
                <w:szCs w:val="20"/>
                <w:color w:val="auto"/>
              </w:rPr>
            </w:pPr>
            <w:r>
              <w:rPr>
                <w:rFonts w:ascii="Arial" w:cs="Arial" w:eastAsia="Arial" w:hAnsi="Arial"/>
                <w:sz w:val="18"/>
                <w:szCs w:val="18"/>
                <w:color w:val="auto"/>
              </w:rPr>
              <w:t>Total shipments (in thousands)</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17,178</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17,446</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43"/>
        </w:trPr>
        <w:tc>
          <w:tcPr>
            <w:tcW w:w="7260" w:type="dxa"/>
            <w:vAlign w:val="bottom"/>
          </w:tcPr>
          <w:p>
            <w:pPr>
              <w:ind w:left="20"/>
              <w:spacing w:after="0"/>
              <w:rPr>
                <w:sz w:val="20"/>
                <w:szCs w:val="20"/>
                <w:color w:val="auto"/>
              </w:rPr>
            </w:pPr>
            <w:r>
              <w:rPr>
                <w:rFonts w:ascii="Arial" w:cs="Arial" w:eastAsia="Arial" w:hAnsi="Arial"/>
                <w:sz w:val="18"/>
                <w:szCs w:val="18"/>
                <w:color w:val="auto"/>
              </w:rPr>
              <w:t>Total shipments per workday (in thousands)</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68.17</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68.96</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43"/>
        </w:trPr>
        <w:tc>
          <w:tcPr>
            <w:tcW w:w="7260" w:type="dxa"/>
            <w:vAlign w:val="bottom"/>
          </w:tcPr>
          <w:p>
            <w:pPr>
              <w:ind w:left="20"/>
              <w:spacing w:after="0"/>
              <w:rPr>
                <w:sz w:val="20"/>
                <w:szCs w:val="20"/>
                <w:color w:val="auto"/>
              </w:rPr>
            </w:pPr>
            <w:r>
              <w:rPr>
                <w:rFonts w:ascii="Arial" w:cs="Arial" w:eastAsia="Arial" w:hAnsi="Arial"/>
                <w:sz w:val="18"/>
                <w:szCs w:val="18"/>
                <w:color w:val="auto"/>
              </w:rPr>
              <w:t>Total picked up revenue per hundred weight</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20.43</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17.82</w:t>
            </w: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14.6 %</w:t>
            </w:r>
          </w:p>
        </w:tc>
        <w:tc>
          <w:tcPr>
            <w:tcW w:w="0" w:type="dxa"/>
            <w:vAlign w:val="bottom"/>
          </w:tcPr>
          <w:p>
            <w:pPr>
              <w:spacing w:after="0"/>
              <w:rPr>
                <w:sz w:val="1"/>
                <w:szCs w:val="1"/>
                <w:color w:val="auto"/>
              </w:rPr>
            </w:pPr>
          </w:p>
        </w:tc>
      </w:tr>
      <w:tr>
        <w:trPr>
          <w:trHeight w:val="243"/>
        </w:trPr>
        <w:tc>
          <w:tcPr>
            <w:tcW w:w="7260" w:type="dxa"/>
            <w:vAlign w:val="bottom"/>
          </w:tcPr>
          <w:p>
            <w:pPr>
              <w:ind w:left="20"/>
              <w:spacing w:after="0"/>
              <w:rPr>
                <w:sz w:val="20"/>
                <w:szCs w:val="20"/>
                <w:color w:val="auto"/>
              </w:rPr>
            </w:pPr>
            <w:r>
              <w:rPr>
                <w:rFonts w:ascii="Arial" w:cs="Arial" w:eastAsia="Arial" w:hAnsi="Arial"/>
                <w:sz w:val="18"/>
                <w:szCs w:val="18"/>
                <w:color w:val="auto"/>
              </w:rPr>
              <w:t>Total picked up revenue per hundred weight (excluding fuel surcharge)</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17.88</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16.13</w:t>
            </w: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10.9 %</w:t>
            </w:r>
          </w:p>
        </w:tc>
        <w:tc>
          <w:tcPr>
            <w:tcW w:w="0" w:type="dxa"/>
            <w:vAlign w:val="bottom"/>
          </w:tcPr>
          <w:p>
            <w:pPr>
              <w:spacing w:after="0"/>
              <w:rPr>
                <w:sz w:val="1"/>
                <w:szCs w:val="1"/>
                <w:color w:val="auto"/>
              </w:rPr>
            </w:pPr>
          </w:p>
        </w:tc>
      </w:tr>
      <w:tr>
        <w:trPr>
          <w:trHeight w:val="243"/>
        </w:trPr>
        <w:tc>
          <w:tcPr>
            <w:tcW w:w="7260" w:type="dxa"/>
            <w:vAlign w:val="bottom"/>
          </w:tcPr>
          <w:p>
            <w:pPr>
              <w:ind w:left="20"/>
              <w:spacing w:after="0"/>
              <w:rPr>
                <w:sz w:val="20"/>
                <w:szCs w:val="20"/>
                <w:color w:val="auto"/>
              </w:rPr>
            </w:pPr>
            <w:r>
              <w:rPr>
                <w:rFonts w:ascii="Arial" w:cs="Arial" w:eastAsia="Arial" w:hAnsi="Arial"/>
                <w:sz w:val="18"/>
                <w:szCs w:val="18"/>
                <w:color w:val="auto"/>
              </w:rPr>
              <w:t>Total picked up revenue per shipment</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296</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257</w:t>
            </w: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14.9 %</w:t>
            </w:r>
          </w:p>
        </w:tc>
        <w:tc>
          <w:tcPr>
            <w:tcW w:w="0" w:type="dxa"/>
            <w:vAlign w:val="bottom"/>
          </w:tcPr>
          <w:p>
            <w:pPr>
              <w:spacing w:after="0"/>
              <w:rPr>
                <w:sz w:val="1"/>
                <w:szCs w:val="1"/>
                <w:color w:val="auto"/>
              </w:rPr>
            </w:pPr>
          </w:p>
        </w:tc>
      </w:tr>
      <w:tr>
        <w:trPr>
          <w:trHeight w:val="243"/>
        </w:trPr>
        <w:tc>
          <w:tcPr>
            <w:tcW w:w="7260" w:type="dxa"/>
            <w:vAlign w:val="bottom"/>
          </w:tcPr>
          <w:p>
            <w:pPr>
              <w:ind w:left="20"/>
              <w:spacing w:after="0"/>
              <w:rPr>
                <w:sz w:val="20"/>
                <w:szCs w:val="20"/>
                <w:color w:val="auto"/>
              </w:rPr>
            </w:pPr>
            <w:r>
              <w:rPr>
                <w:rFonts w:ascii="Arial" w:cs="Arial" w:eastAsia="Arial" w:hAnsi="Arial"/>
                <w:sz w:val="18"/>
                <w:szCs w:val="18"/>
                <w:color w:val="auto"/>
              </w:rPr>
              <w:t>Total picked up revenue per shipment (excluding fuel surcharge)</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259</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233</w:t>
            </w: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11.2 %</w:t>
            </w:r>
          </w:p>
        </w:tc>
        <w:tc>
          <w:tcPr>
            <w:tcW w:w="0" w:type="dxa"/>
            <w:vAlign w:val="bottom"/>
          </w:tcPr>
          <w:p>
            <w:pPr>
              <w:spacing w:after="0"/>
              <w:rPr>
                <w:sz w:val="1"/>
                <w:szCs w:val="1"/>
                <w:color w:val="auto"/>
              </w:rPr>
            </w:pPr>
          </w:p>
        </w:tc>
      </w:tr>
      <w:tr>
        <w:trPr>
          <w:trHeight w:val="243"/>
        </w:trPr>
        <w:tc>
          <w:tcPr>
            <w:tcW w:w="7260" w:type="dxa"/>
            <w:vAlign w:val="bottom"/>
          </w:tcPr>
          <w:p>
            <w:pPr>
              <w:ind w:left="20"/>
              <w:spacing w:after="0"/>
              <w:rPr>
                <w:sz w:val="20"/>
                <w:szCs w:val="20"/>
                <w:color w:val="auto"/>
              </w:rPr>
            </w:pPr>
            <w:r>
              <w:rPr>
                <w:rFonts w:ascii="Arial" w:cs="Arial" w:eastAsia="Arial" w:hAnsi="Arial"/>
                <w:sz w:val="18"/>
                <w:szCs w:val="18"/>
                <w:color w:val="auto"/>
              </w:rPr>
              <w:t>Total weight per shipment (in pounds)</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1,447</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1,443</w:t>
            </w: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0.3 %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-3227705</wp:posOffset>
            </wp:positionV>
            <wp:extent cx="6986905" cy="1543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86905" cy="154305"/>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-2919095</wp:posOffset>
            </wp:positionV>
            <wp:extent cx="6986905" cy="1543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86905" cy="154305"/>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-2611120</wp:posOffset>
            </wp:positionV>
            <wp:extent cx="6986905" cy="1543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86905" cy="154305"/>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-2302510</wp:posOffset>
            </wp:positionV>
            <wp:extent cx="6986905" cy="1543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86905" cy="154305"/>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-1994535</wp:posOffset>
            </wp:positionV>
            <wp:extent cx="6986905" cy="1543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86905" cy="154305"/>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-1377950</wp:posOffset>
            </wp:positionV>
            <wp:extent cx="6986905" cy="1543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86905" cy="154305"/>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-1069975</wp:posOffset>
            </wp:positionV>
            <wp:extent cx="6986905" cy="1543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86905" cy="154305"/>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-761365</wp:posOffset>
            </wp:positionV>
            <wp:extent cx="6986905" cy="1543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86905" cy="154305"/>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-453390</wp:posOffset>
            </wp:positionV>
            <wp:extent cx="6986905" cy="1543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86905" cy="154305"/>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-144780</wp:posOffset>
            </wp:positionV>
            <wp:extent cx="6986905" cy="1543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86905" cy="154305"/>
                    </a:xfrm>
                    <a:prstGeom prst="rect">
                      <a:avLst/>
                    </a:prstGeom>
                    <a:noFill/>
                  </pic:spPr>
                </pic:pic>
              </a:graphicData>
            </a:graphic>
          </wp:anchor>
        </w:drawing>
      </w:r>
    </w:p>
    <w:p>
      <w:pPr>
        <w:spacing w:after="0" w:line="190" w:lineRule="exact"/>
        <w:rPr>
          <w:sz w:val="20"/>
          <w:szCs w:val="20"/>
          <w:color w:val="auto"/>
        </w:rPr>
      </w:pPr>
    </w:p>
    <w:p>
      <w:pPr>
        <w:ind w:left="380" w:hanging="372"/>
        <w:spacing w:after="0"/>
        <w:tabs>
          <w:tab w:leader="none" w:pos="3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Percent change based on unrounded figures and not the rounded figures presented.</w:t>
      </w:r>
    </w:p>
    <w:p>
      <w:pPr>
        <w:ind w:left="380" w:hanging="372"/>
        <w:spacing w:after="0"/>
        <w:tabs>
          <w:tab w:leader="none" w:pos="3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Does not equal financial statement revenue due to revenue recognition adjustments between accounting periods and the impact of other revenue.</w:t>
      </w:r>
    </w:p>
    <w:p>
      <w:pPr>
        <w:spacing w:after="0" w:line="201"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368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3820" w:type="dxa"/>
            <w:vAlign w:val="bottom"/>
          </w:tcPr>
          <w:p>
            <w:pPr>
              <w:jc w:val="right"/>
              <w:ind w:right="528"/>
              <w:spacing w:after="0"/>
              <w:rPr>
                <w:sz w:val="20"/>
                <w:szCs w:val="20"/>
                <w:color w:val="auto"/>
              </w:rPr>
            </w:pPr>
            <w:r>
              <w:rPr>
                <w:rFonts w:ascii="Arial" w:cs="Arial" w:eastAsia="Arial" w:hAnsi="Arial"/>
                <w:sz w:val="14"/>
                <w:szCs w:val="14"/>
                <w:b w:val="1"/>
                <w:bCs w:val="1"/>
                <w:color w:val="auto"/>
              </w:rPr>
              <w:t>2021</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0</wp:posOffset>
            </wp:positionV>
            <wp:extent cx="570230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02300" cy="8255"/>
                    </a:xfrm>
                    <a:prstGeom prst="rect">
                      <a:avLst/>
                    </a:prstGeom>
                    <a:noFill/>
                  </pic:spPr>
                </pic:pic>
              </a:graphicData>
            </a:graphic>
          </wp:anchor>
        </w:drawing>
      </w:r>
    </w:p>
    <w:p>
      <w:pPr>
        <w:ind w:left="1340" w:hanging="193"/>
        <w:spacing w:after="0" w:line="219" w:lineRule="auto"/>
        <w:tabs>
          <w:tab w:leader="none" w:pos="1340" w:val="left"/>
        </w:tabs>
        <w:numPr>
          <w:ilvl w:val="0"/>
          <w:numId w:val="17"/>
        </w:numPr>
        <w:rPr>
          <w:rFonts w:ascii="Arial" w:cs="Arial" w:eastAsia="Arial" w:hAnsi="Arial"/>
          <w:sz w:val="23"/>
          <w:szCs w:val="23"/>
          <w:color w:val="auto"/>
          <w:vertAlign w:val="superscript"/>
        </w:rPr>
      </w:pPr>
      <w:r>
        <w:rPr>
          <w:rFonts w:ascii="Arial" w:cs="Arial" w:eastAsia="Arial" w:hAnsi="Arial"/>
          <w:sz w:val="17"/>
          <w:szCs w:val="17"/>
          <w:color w:val="auto"/>
        </w:rPr>
        <w:t>Reconciliation of operating revenue to total picked up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-144145</wp:posOffset>
            </wp:positionV>
            <wp:extent cx="5702300" cy="1543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02300" cy="154305"/>
                    </a:xfrm>
                    <a:prstGeom prst="rect">
                      <a:avLst/>
                    </a:prstGeom>
                    <a:noFill/>
                  </pic:spPr>
                </pic:pic>
              </a:graphicData>
            </a:graphic>
          </wp:anchor>
        </w:drawing>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140" w:type="dxa"/>
            <w:vAlign w:val="bottom"/>
          </w:tcPr>
          <w:p>
            <w:pPr>
              <w:spacing w:after="0"/>
              <w:rPr>
                <w:sz w:val="19"/>
                <w:szCs w:val="19"/>
                <w:color w:val="auto"/>
              </w:rPr>
            </w:pPr>
          </w:p>
        </w:tc>
        <w:tc>
          <w:tcPr>
            <w:tcW w:w="3620" w:type="dxa"/>
            <w:vAlign w:val="bottom"/>
          </w:tcPr>
          <w:p>
            <w:pPr>
              <w:ind w:left="180"/>
              <w:spacing w:after="0"/>
              <w:rPr>
                <w:sz w:val="20"/>
                <w:szCs w:val="20"/>
                <w:color w:val="auto"/>
              </w:rPr>
            </w:pPr>
            <w:r>
              <w:rPr>
                <w:rFonts w:ascii="Arial" w:cs="Arial" w:eastAsia="Arial" w:hAnsi="Arial"/>
                <w:sz w:val="18"/>
                <w:szCs w:val="18"/>
                <w:color w:val="auto"/>
              </w:rPr>
              <w:t>Operating revenue</w:t>
            </w:r>
          </w:p>
        </w:tc>
        <w:tc>
          <w:tcPr>
            <w:tcW w:w="2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5,121.8</w:t>
            </w:r>
          </w:p>
        </w:tc>
        <w:tc>
          <w:tcPr>
            <w:tcW w:w="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4,513.7</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36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Change in revenue deferral and other</w:t>
            </w:r>
          </w:p>
        </w:tc>
        <w:tc>
          <w:tcPr>
            <w:tcW w:w="248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(44.1 )</w:t>
            </w:r>
          </w:p>
        </w:tc>
        <w:tc>
          <w:tcPr>
            <w:tcW w:w="14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(26.0 )</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Total picked up revenue</w:t>
            </w:r>
          </w:p>
        </w:tc>
        <w:tc>
          <w:tcPr>
            <w:tcW w:w="2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5,077.7</w:t>
            </w:r>
          </w:p>
        </w:tc>
        <w:tc>
          <w:tcPr>
            <w:tcW w:w="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4,487.7</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480" w:type="dxa"/>
            <w:vAlign w:val="bottom"/>
            <w:vMerge w:val="restart"/>
          </w:tcPr>
          <w:p>
            <w:pPr>
              <w:jc w:val="right"/>
              <w:ind w:right="1430"/>
              <w:spacing w:after="0"/>
              <w:rPr>
                <w:sz w:val="20"/>
                <w:szCs w:val="20"/>
                <w:color w:val="auto"/>
              </w:rPr>
            </w:pPr>
            <w:r>
              <w:rPr>
                <w:rFonts w:ascii="Arial" w:cs="Arial" w:eastAsia="Arial" w:hAnsi="Arial"/>
                <w:sz w:val="18"/>
                <w:szCs w:val="18"/>
                <w:color w:val="auto"/>
              </w:rPr>
              <w:t>27</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4"/>
        </w:trPr>
        <w:tc>
          <w:tcPr>
            <w:tcW w:w="11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9"/>
                <w:szCs w:val="9"/>
                <w:color w:val="auto"/>
              </w:rPr>
            </w:pPr>
          </w:p>
        </w:tc>
        <w:tc>
          <w:tcPr>
            <w:tcW w:w="3620" w:type="dxa"/>
            <w:vAlign w:val="bottom"/>
            <w:tcBorders>
              <w:bottom w:val="single" w:sz="8" w:color="9A9A9A"/>
            </w:tcBorders>
          </w:tcPr>
          <w:p>
            <w:pPr>
              <w:spacing w:after="0"/>
              <w:rPr>
                <w:sz w:val="9"/>
                <w:szCs w:val="9"/>
                <w:color w:val="auto"/>
              </w:rPr>
            </w:pPr>
          </w:p>
        </w:tc>
        <w:tc>
          <w:tcPr>
            <w:tcW w:w="248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5485130</wp:posOffset>
            </wp:positionH>
            <wp:positionV relativeFrom="paragraph">
              <wp:posOffset>-684530</wp:posOffset>
            </wp:positionV>
            <wp:extent cx="85725" cy="1885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7" w:name="page28"/>
    <w:bookmarkEnd w:id="27"/>
    <w:p>
      <w:pPr>
        <w:spacing w:after="0"/>
        <w:rPr>
          <w:sz w:val="20"/>
          <w:szCs w:val="20"/>
          <w:color w:val="auto"/>
        </w:rPr>
      </w:pPr>
      <w:r>
        <w:rPr>
          <w:rFonts w:ascii="Arial" w:cs="Arial" w:eastAsia="Arial" w:hAnsi="Arial"/>
          <w:sz w:val="20"/>
          <w:szCs w:val="20"/>
          <w:b w:val="1"/>
          <w:bCs w:val="1"/>
          <w:color w:val="auto"/>
        </w:rPr>
        <w:t>Certain Non-GAAP Financial Measures</w:t>
      </w:r>
    </w:p>
    <w:p>
      <w:pPr>
        <w:spacing w:after="0" w:line="19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previously discussed in the “Our Business” section, we use certain non-GAAP financial measures to assess performance including EBITDA and Adjusted EBITDA. We believe our presentation of EBITDA and Adjusted EBITDA is useful to investors and other users as these measures represent key supplemental information our management uses to compare and evaluate our core underlying business results, particularly in light of our leverage position and the capital-intensive nature of our business. These secondary measures should be considered in addition to the results prepared in accordance with GAAP, but should not be considered a substitute for, or superior to, our GAAP financial measures.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of net loss to EBITDA and EBITDA to Adjusted EBITDA for the years ended December 31: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r>
      <w:tr>
        <w:trPr>
          <w:trHeight w:val="236"/>
        </w:trPr>
        <w:tc>
          <w:tcPr>
            <w:tcW w:w="6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Reconciliation of net income (loss) to Adjusted EBITDA:</w:t>
            </w:r>
          </w:p>
        </w:tc>
        <w:tc>
          <w:tcPr>
            <w:tcW w:w="1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r>
      <w:tr>
        <w:trPr>
          <w:trHeight w:val="236"/>
        </w:trPr>
        <w:tc>
          <w:tcPr>
            <w:tcW w:w="642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4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21.8</w:t>
            </w:r>
          </w:p>
        </w:tc>
        <w:tc>
          <w:tcPr>
            <w:tcW w:w="4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(109.1 )</w:t>
            </w: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(53.5 )</w:t>
            </w:r>
          </w:p>
        </w:tc>
      </w:tr>
      <w:tr>
        <w:trPr>
          <w:trHeight w:val="249"/>
        </w:trPr>
        <w:tc>
          <w:tcPr>
            <w:tcW w:w="64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expense, net</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161.6</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150.4</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135.6</w:t>
            </w:r>
          </w:p>
        </w:tc>
      </w:tr>
      <w:tr>
        <w:trPr>
          <w:trHeight w:val="236"/>
        </w:trPr>
        <w:tc>
          <w:tcPr>
            <w:tcW w:w="6420" w:type="dxa"/>
            <w:vAlign w:val="bottom"/>
          </w:tcPr>
          <w:p>
            <w:pPr>
              <w:ind w:left="200"/>
              <w:spacing w:after="0"/>
              <w:rPr>
                <w:sz w:val="20"/>
                <w:szCs w:val="20"/>
                <w:color w:val="auto"/>
              </w:rPr>
            </w:pPr>
            <w:r>
              <w:rPr>
                <w:rFonts w:ascii="Arial" w:cs="Arial" w:eastAsia="Arial" w:hAnsi="Arial"/>
                <w:sz w:val="18"/>
                <w:szCs w:val="18"/>
                <w:color w:val="auto"/>
              </w:rPr>
              <w:t>Income tax expense (benefit)</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(19.6 )</w:t>
            </w:r>
          </w:p>
        </w:tc>
      </w:tr>
      <w:tr>
        <w:trPr>
          <w:trHeight w:val="243"/>
        </w:trPr>
        <w:tc>
          <w:tcPr>
            <w:tcW w:w="64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143.4</w:t>
            </w:r>
          </w:p>
        </w:tc>
        <w:tc>
          <w:tcPr>
            <w:tcW w:w="1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143.6</w:t>
            </w: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134.9</w:t>
            </w:r>
          </w:p>
        </w:tc>
      </w:tr>
      <w:tr>
        <w:trPr>
          <w:trHeight w:val="236"/>
        </w:trPr>
        <w:tc>
          <w:tcPr>
            <w:tcW w:w="6420" w:type="dxa"/>
            <w:vAlign w:val="bottom"/>
          </w:tcPr>
          <w:p>
            <w:pPr>
              <w:ind w:left="20"/>
              <w:spacing w:after="0"/>
              <w:rPr>
                <w:sz w:val="20"/>
                <w:szCs w:val="20"/>
                <w:color w:val="auto"/>
              </w:rPr>
            </w:pPr>
            <w:r>
              <w:rPr>
                <w:rFonts w:ascii="Arial" w:cs="Arial" w:eastAsia="Arial" w:hAnsi="Arial"/>
                <w:sz w:val="18"/>
                <w:szCs w:val="18"/>
                <w:color w:val="auto"/>
              </w:rPr>
              <w:t>EBITDA</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331.5</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188.0</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197.4</w:t>
            </w:r>
          </w:p>
        </w:tc>
      </w:tr>
      <w:tr>
        <w:trPr>
          <w:trHeight w:val="249"/>
        </w:trPr>
        <w:tc>
          <w:tcPr>
            <w:tcW w:w="6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Adjustments for TL Agreements:</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r>
      <w:tr>
        <w:trPr>
          <w:trHeight w:val="236"/>
        </w:trPr>
        <w:tc>
          <w:tcPr>
            <w:tcW w:w="6420" w:type="dxa"/>
            <w:vAlign w:val="bottom"/>
          </w:tcPr>
          <w:p>
            <w:pPr>
              <w:ind w:left="200"/>
              <w:spacing w:after="0"/>
              <w:rPr>
                <w:sz w:val="20"/>
                <w:szCs w:val="20"/>
                <w:color w:val="auto"/>
              </w:rPr>
            </w:pPr>
            <w:r>
              <w:rPr>
                <w:rFonts w:ascii="Arial" w:cs="Arial" w:eastAsia="Arial" w:hAnsi="Arial"/>
                <w:sz w:val="18"/>
                <w:szCs w:val="18"/>
                <w:color w:val="auto"/>
              </w:rPr>
              <w:t>(Gains) losses on property disposals, net</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(38.0 )</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0.7</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(45.3 )</w:t>
            </w:r>
          </w:p>
        </w:tc>
      </w:tr>
      <w:tr>
        <w:trPr>
          <w:trHeight w:val="249"/>
        </w:trPr>
        <w:tc>
          <w:tcPr>
            <w:tcW w:w="6420" w:type="dxa"/>
            <w:vAlign w:val="bottom"/>
            <w:shd w:val="clear" w:color="auto" w:fill="CFF0FC"/>
          </w:tcPr>
          <w:p>
            <w:pPr>
              <w:ind w:left="200"/>
              <w:spacing w:after="0" w:line="249" w:lineRule="exact"/>
              <w:rPr>
                <w:sz w:val="20"/>
                <w:szCs w:val="20"/>
                <w:color w:val="auto"/>
              </w:rPr>
            </w:pPr>
            <w:r>
              <w:rPr>
                <w:rFonts w:ascii="Arial" w:cs="Arial" w:eastAsia="Arial" w:hAnsi="Arial"/>
                <w:sz w:val="18"/>
                <w:szCs w:val="18"/>
                <w:color w:val="auto"/>
              </w:rPr>
              <w:t xml:space="preserve">Non-cash reserve changes </w:t>
            </w:r>
            <w:r>
              <w:rPr>
                <w:rFonts w:ascii="Arial" w:cs="Arial" w:eastAsia="Arial" w:hAnsi="Arial"/>
                <w:sz w:val="24"/>
                <w:szCs w:val="24"/>
                <w:color w:val="auto"/>
                <w:vertAlign w:val="superscript"/>
              </w:rPr>
              <w:t>(a)</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(2.5 )</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11.6</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2.9</w:t>
            </w:r>
          </w:p>
        </w:tc>
      </w:tr>
      <w:tr>
        <w:trPr>
          <w:trHeight w:val="236"/>
        </w:trPr>
        <w:tc>
          <w:tcPr>
            <w:tcW w:w="6420" w:type="dxa"/>
            <w:vAlign w:val="bottom"/>
          </w:tcPr>
          <w:p>
            <w:pPr>
              <w:ind w:left="200"/>
              <w:spacing w:after="0"/>
              <w:rPr>
                <w:sz w:val="20"/>
                <w:szCs w:val="20"/>
                <w:color w:val="auto"/>
              </w:rPr>
            </w:pPr>
            <w:r>
              <w:rPr>
                <w:rFonts w:ascii="Arial" w:cs="Arial" w:eastAsia="Arial" w:hAnsi="Arial"/>
                <w:sz w:val="18"/>
                <w:szCs w:val="18"/>
                <w:color w:val="auto"/>
              </w:rPr>
              <w:t>Letter of credit expense</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8.4</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8.5</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7.3</w:t>
            </w:r>
          </w:p>
        </w:tc>
      </w:tr>
      <w:tr>
        <w:trPr>
          <w:trHeight w:val="249"/>
        </w:trPr>
        <w:tc>
          <w:tcPr>
            <w:tcW w:w="64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Permitted dispositions and other</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0.4</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0.8</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0.3</w:t>
            </w:r>
          </w:p>
        </w:tc>
      </w:tr>
      <w:tr>
        <w:trPr>
          <w:trHeight w:val="236"/>
        </w:trPr>
        <w:tc>
          <w:tcPr>
            <w:tcW w:w="6420" w:type="dxa"/>
            <w:vAlign w:val="bottom"/>
          </w:tcPr>
          <w:p>
            <w:pPr>
              <w:ind w:left="200"/>
              <w:spacing w:after="0"/>
              <w:rPr>
                <w:sz w:val="20"/>
                <w:szCs w:val="20"/>
                <w:color w:val="auto"/>
              </w:rPr>
            </w:pPr>
            <w:r>
              <w:rPr>
                <w:rFonts w:ascii="Arial" w:cs="Arial" w:eastAsia="Arial" w:hAnsi="Arial"/>
                <w:sz w:val="18"/>
                <w:szCs w:val="18"/>
                <w:color w:val="auto"/>
              </w:rPr>
              <w:t>Equity-based compensation expense</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4.7</w:t>
            </w:r>
          </w:p>
        </w:tc>
      </w:tr>
      <w:tr>
        <w:trPr>
          <w:trHeight w:val="249"/>
        </w:trPr>
        <w:tc>
          <w:tcPr>
            <w:tcW w:w="64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Non-union pension settlement charges</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12.1</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64.7</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3.6</w:t>
            </w:r>
          </w:p>
        </w:tc>
      </w:tr>
      <w:tr>
        <w:trPr>
          <w:trHeight w:val="236"/>
        </w:trPr>
        <w:tc>
          <w:tcPr>
            <w:tcW w:w="642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3.5</w:t>
            </w:r>
          </w:p>
        </w:tc>
      </w:tr>
      <w:tr>
        <w:trPr>
          <w:trHeight w:val="249"/>
        </w:trPr>
        <w:tc>
          <w:tcPr>
            <w:tcW w:w="6420" w:type="dxa"/>
            <w:vAlign w:val="bottom"/>
            <w:shd w:val="clear" w:color="auto" w:fill="CFF0FC"/>
          </w:tcPr>
          <w:p>
            <w:pPr>
              <w:ind w:left="200"/>
              <w:spacing w:after="0" w:line="249" w:lineRule="exact"/>
              <w:rPr>
                <w:sz w:val="20"/>
                <w:szCs w:val="20"/>
                <w:color w:val="auto"/>
              </w:rPr>
            </w:pPr>
            <w:r>
              <w:rPr>
                <w:rFonts w:ascii="Arial" w:cs="Arial" w:eastAsia="Arial" w:hAnsi="Arial"/>
                <w:sz w:val="18"/>
                <w:szCs w:val="18"/>
                <w:color w:val="auto"/>
              </w:rPr>
              <w:t xml:space="preserve">Expense amounts subject to 10% threshold </w:t>
            </w:r>
            <w:r>
              <w:rPr>
                <w:rFonts w:ascii="Arial" w:cs="Arial" w:eastAsia="Arial" w:hAnsi="Arial"/>
                <w:sz w:val="24"/>
                <w:szCs w:val="24"/>
                <w:color w:val="auto"/>
                <w:vertAlign w:val="superscript"/>
              </w:rPr>
              <w:t>(b)</w:t>
            </w: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r>
      <w:tr>
        <w:trPr>
          <w:trHeight w:val="236"/>
        </w:trPr>
        <w:tc>
          <w:tcPr>
            <w:tcW w:w="6420" w:type="dxa"/>
            <w:vAlign w:val="bottom"/>
          </w:tcPr>
          <w:p>
            <w:pPr>
              <w:ind w:left="300"/>
              <w:spacing w:after="0"/>
              <w:rPr>
                <w:sz w:val="20"/>
                <w:szCs w:val="20"/>
                <w:color w:val="auto"/>
              </w:rPr>
            </w:pPr>
            <w:r>
              <w:rPr>
                <w:rFonts w:ascii="Arial" w:cs="Arial" w:eastAsia="Arial" w:hAnsi="Arial"/>
                <w:sz w:val="18"/>
                <w:szCs w:val="18"/>
                <w:color w:val="auto"/>
              </w:rPr>
              <w:t>Department of Defense settlement charge</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49"/>
        </w:trPr>
        <w:tc>
          <w:tcPr>
            <w:tcW w:w="6420" w:type="dxa"/>
            <w:vAlign w:val="bottom"/>
            <w:shd w:val="clear" w:color="auto" w:fill="CFF0FC"/>
          </w:tcPr>
          <w:p>
            <w:pPr>
              <w:ind w:left="300"/>
              <w:spacing w:after="0"/>
              <w:rPr>
                <w:sz w:val="20"/>
                <w:szCs w:val="20"/>
                <w:color w:val="auto"/>
              </w:rPr>
            </w:pPr>
            <w:r>
              <w:rPr>
                <w:rFonts w:ascii="Arial" w:cs="Arial" w:eastAsia="Arial" w:hAnsi="Arial"/>
                <w:sz w:val="18"/>
                <w:szCs w:val="18"/>
                <w:color w:val="auto"/>
              </w:rPr>
              <w:t>COVID-19</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3.9</w:t>
            </w:r>
          </w:p>
        </w:tc>
      </w:tr>
      <w:tr>
        <w:trPr>
          <w:trHeight w:val="236"/>
        </w:trPr>
        <w:tc>
          <w:tcPr>
            <w:tcW w:w="6420" w:type="dxa"/>
            <w:vAlign w:val="bottom"/>
          </w:tcPr>
          <w:p>
            <w:pPr>
              <w:ind w:left="300"/>
              <w:spacing w:after="0"/>
              <w:rPr>
                <w:sz w:val="20"/>
                <w:szCs w:val="20"/>
                <w:color w:val="auto"/>
              </w:rPr>
            </w:pPr>
            <w:r>
              <w:rPr>
                <w:rFonts w:ascii="Arial" w:cs="Arial" w:eastAsia="Arial" w:hAnsi="Arial"/>
                <w:sz w:val="18"/>
                <w:szCs w:val="18"/>
                <w:color w:val="auto"/>
              </w:rPr>
              <w:t>Other, net</w:t>
            </w: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19.4</w:t>
            </w: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24.3</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17.3</w:t>
            </w:r>
          </w:p>
        </w:tc>
      </w:tr>
      <w:tr>
        <w:trPr>
          <w:trHeight w:val="242"/>
        </w:trPr>
        <w:tc>
          <w:tcPr>
            <w:tcW w:w="6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Adjusted EBITDA prior to 10% threshold</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343.1</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306.0</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195.6</w:t>
            </w:r>
          </w:p>
        </w:tc>
      </w:tr>
      <w:tr>
        <w:trPr>
          <w:trHeight w:val="243"/>
        </w:trPr>
        <w:tc>
          <w:tcPr>
            <w:tcW w:w="6420" w:type="dxa"/>
            <w:vAlign w:val="bottom"/>
          </w:tcPr>
          <w:p>
            <w:pPr>
              <w:ind w:left="200"/>
              <w:spacing w:after="0" w:line="243" w:lineRule="exact"/>
              <w:rPr>
                <w:sz w:val="20"/>
                <w:szCs w:val="20"/>
                <w:color w:val="auto"/>
              </w:rPr>
            </w:pPr>
            <w:r>
              <w:rPr>
                <w:rFonts w:ascii="Arial" w:cs="Arial" w:eastAsia="Arial" w:hAnsi="Arial"/>
                <w:sz w:val="18"/>
                <w:szCs w:val="18"/>
                <w:color w:val="auto"/>
              </w:rPr>
              <w:t xml:space="preserve">Adjustments pursuant to TTM calculation </w:t>
            </w:r>
            <w:r>
              <w:rPr>
                <w:rFonts w:ascii="Arial" w:cs="Arial" w:eastAsia="Arial" w:hAnsi="Arial"/>
                <w:sz w:val="24"/>
                <w:szCs w:val="24"/>
                <w:color w:val="auto"/>
                <w:vertAlign w:val="superscript"/>
              </w:rPr>
              <w:t>(b)</w:t>
            </w:r>
          </w:p>
        </w:tc>
        <w:tc>
          <w:tcPr>
            <w:tcW w:w="1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(3.7 )</w:t>
            </w:r>
          </w:p>
        </w:tc>
      </w:tr>
      <w:tr>
        <w:trPr>
          <w:trHeight w:val="270"/>
        </w:trPr>
        <w:tc>
          <w:tcPr>
            <w:tcW w:w="6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Adjusted EBITDA</w:t>
            </w:r>
          </w:p>
        </w:tc>
        <w:tc>
          <w:tcPr>
            <w:tcW w:w="16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343.1</w:t>
            </w:r>
          </w:p>
        </w:tc>
        <w:tc>
          <w:tcPr>
            <w:tcW w:w="16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306.0</w:t>
            </w:r>
          </w:p>
        </w:tc>
        <w:tc>
          <w:tcPr>
            <w:tcW w:w="16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191.9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5116830</wp:posOffset>
            </wp:positionH>
            <wp:positionV relativeFrom="paragraph">
              <wp:posOffset>-2516505</wp:posOffset>
            </wp:positionV>
            <wp:extent cx="102870" cy="1625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02870" cy="162560"/>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-2516505</wp:posOffset>
            </wp:positionV>
            <wp:extent cx="93980" cy="1625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-24765</wp:posOffset>
            </wp:positionV>
            <wp:extent cx="10287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-7620</wp:posOffset>
            </wp:positionV>
            <wp:extent cx="10287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-24765</wp:posOffset>
            </wp:positionV>
            <wp:extent cx="939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-7620</wp:posOffset>
            </wp:positionV>
            <wp:extent cx="939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77" w:lineRule="exact"/>
        <w:rPr>
          <w:sz w:val="20"/>
          <w:szCs w:val="20"/>
          <w:color w:val="auto"/>
        </w:rPr>
      </w:pPr>
    </w:p>
    <w:p>
      <w:pPr>
        <w:ind w:left="380" w:right="20" w:hanging="372"/>
        <w:spacing w:after="0" w:line="230" w:lineRule="auto"/>
        <w:tabs>
          <w:tab w:leader="none" w:pos="3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Non-cash reserve changes reflect the net non-cash reserve charge for union and nonunion vacation, with such non-cash reserve adjustment to be reduced by cash charges in a future period when paid.</w:t>
      </w:r>
    </w:p>
    <w:p>
      <w:pPr>
        <w:jc w:val="both"/>
        <w:ind w:left="380" w:hanging="372"/>
        <w:spacing w:after="0" w:line="249" w:lineRule="auto"/>
        <w:tabs>
          <w:tab w:leader="none" w:pos="3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Pursuant to the TL Agreements, Adjusted EBITDA limits certain adjustments in aggregate to 10% of the trailing-twelve-month ("TTM") consolidated Adjusted EBITDA, prior to the inclusion of amounts subject to the 10% threshold, for each period ending. Such adjustments include, but are not limited to, restructuring charges, integration costs, severance, and non-recurring charges. The limitation calculation is updated quarterly based on TTM Adjusted EBITDA, and any necessary adjustment resulting from this limitation, if applicable, will be presented here. The sum of the quarters may not necessarily equal TTM Adjusted EBITDA due to the expiration of adjustments from prior periods.</w:t>
      </w:r>
    </w:p>
    <w:p>
      <w:pPr>
        <w:spacing w:after="0" w:line="3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Condition, Liquidity and Capital Resources</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sections provide aggregated information regarding our financial condition, liquidity and capital resources. As of December 31, 2022 and 2021 our total debt was $1,538.0 million and $1,554.5 million, respectively.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198" w:lineRule="exact"/>
        <w:rPr>
          <w:sz w:val="20"/>
          <w:szCs w:val="20"/>
          <w:color w:val="auto"/>
        </w:rPr>
      </w:pPr>
    </w:p>
    <w:p>
      <w:pPr>
        <w:jc w:val="both"/>
        <w:ind w:right="20"/>
        <w:spacing w:after="0" w:line="307" w:lineRule="auto"/>
        <w:rPr>
          <w:sz w:val="20"/>
          <w:szCs w:val="20"/>
          <w:color w:val="auto"/>
        </w:rPr>
      </w:pPr>
      <w:r>
        <w:rPr>
          <w:rFonts w:ascii="Arial" w:cs="Arial" w:eastAsia="Arial" w:hAnsi="Arial"/>
          <w:sz w:val="17"/>
          <w:szCs w:val="17"/>
          <w:color w:val="auto"/>
        </w:rPr>
        <w:t>Our principal sources of liquidity are cash and cash equivalents, available borrowings under our ABL Facility and any prospective net cash flow from operations. As of December 31, 2022 and 2021, our cash and cash equivalents was $235.1 million and $310.7 million, respectively.</w:t>
      </w:r>
    </w:p>
    <w:p>
      <w:pPr>
        <w:spacing w:after="0" w:line="1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31, 2022, we completed an amendment to our ABL agreement which extended the term to January 9, 2026 and includes a springing maturity commencing thirty days prior to the maturity of any of the Term Debt, the UST Tranche A Facility Indebtedness, or the UST Tranche B Facility Indebtedness. The amended facility has an increased capacity of $50 million up to $500 million. The facility has an interest rate of Secured Overnight Financing Rate ("SOFR") + 1.75%.</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0" w:right="339" w:bottom="1440" w:gutter="0" w:footer="0" w:header="0"/>
        </w:sectPr>
      </w:pPr>
    </w:p>
    <w:bookmarkStart w:id="28" w:name="page29"/>
    <w:bookmarkEnd w:id="28"/>
    <w:p>
      <w:pPr>
        <w:jc w:val="both"/>
        <w:spacing w:after="0" w:line="271" w:lineRule="auto"/>
        <w:rPr>
          <w:sz w:val="20"/>
          <w:szCs w:val="20"/>
          <w:color w:val="auto"/>
        </w:rPr>
      </w:pPr>
      <w:r>
        <w:rPr>
          <w:rFonts w:ascii="Arial" w:cs="Arial" w:eastAsia="Arial" w:hAnsi="Arial"/>
          <w:sz w:val="17"/>
          <w:szCs w:val="17"/>
          <w:color w:val="auto"/>
        </w:rPr>
        <w:t>As of December 31, 2022, our Availability under our ABL Facility was $47.7 million, and our Managed Accessibility was $6.7 million. Availability is derived by reducing the amount that may be advanced against eligible receivables plus eligible borrowing base cash by certain reserves imposed by the ABL Agent and our $361.8 million of outstanding letters of credit. Our Managed Accessibility represents the maximum amount we would access on the ABL Facility and is adjusted for eligible receivables plus eligible borrowing base cash measured as of December 31, 2022. If eligible receivables fall below the threshold management uses to measure availability, which is 10% of the borrowing line, the credit agreement governing the ABL Facility permits adjustments from eligible borrowing base cash to restricted cash prior to the compliance measurement date, which for the year-end 2022 is as of January 13, 2023. Cash and cash equivalents and Managed Accessibility totaled $241.8 million at December 31, 2022.</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2021, our Availability under our ABL Facility was $93.1 million, and our Managed Accessibility was $48.1 million. Cash and cash equivalents and Managed Accessibility totaled $358.8 million at December 31, 2021.</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cash and cash equivalents and Managed Accessibility at December 31: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236"/>
        </w:trPr>
        <w:tc>
          <w:tcPr>
            <w:tcW w:w="7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FF0FC"/>
          </w:tcPr>
          <w:p>
            <w:pPr>
              <w:spacing w:after="0"/>
              <w:rPr>
                <w:sz w:val="20"/>
                <w:szCs w:val="20"/>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235.1</w:t>
            </w:r>
          </w:p>
        </w:tc>
        <w:tc>
          <w:tcPr>
            <w:tcW w:w="280" w:type="dxa"/>
            <w:vAlign w:val="bottom"/>
            <w:shd w:val="clear" w:color="auto" w:fill="CFF0FC"/>
          </w:tcPr>
          <w:p>
            <w:pPr>
              <w:spacing w:after="0"/>
              <w:rPr>
                <w:sz w:val="20"/>
                <w:szCs w:val="20"/>
                <w:color w:val="auto"/>
              </w:rPr>
            </w:pP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310.7</w:t>
            </w:r>
          </w:p>
        </w:tc>
        <w:tc>
          <w:tcPr>
            <w:tcW w:w="100" w:type="dxa"/>
            <w:vAlign w:val="bottom"/>
            <w:shd w:val="clear" w:color="auto" w:fill="CFF0FC"/>
          </w:tcPr>
          <w:p>
            <w:pPr>
              <w:spacing w:after="0"/>
              <w:rPr>
                <w:sz w:val="20"/>
                <w:szCs w:val="20"/>
                <w:color w:val="auto"/>
              </w:rPr>
            </w:pPr>
          </w:p>
        </w:tc>
      </w:tr>
      <w:tr>
        <w:trPr>
          <w:trHeight w:val="236"/>
        </w:trPr>
        <w:tc>
          <w:tcPr>
            <w:tcW w:w="7500" w:type="dxa"/>
            <w:vAlign w:val="bottom"/>
          </w:tcPr>
          <w:p>
            <w:pPr>
              <w:ind w:left="20"/>
              <w:spacing w:after="0"/>
              <w:rPr>
                <w:sz w:val="20"/>
                <w:szCs w:val="20"/>
                <w:color w:val="auto"/>
              </w:rPr>
            </w:pPr>
            <w:r>
              <w:rPr>
                <w:rFonts w:ascii="Arial" w:cs="Arial" w:eastAsia="Arial" w:hAnsi="Arial"/>
                <w:sz w:val="18"/>
                <w:szCs w:val="18"/>
                <w:color w:val="auto"/>
              </w:rPr>
              <w:t>Less: amounts placed into restricted cash subsequent to year-end</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3"/>
        </w:trPr>
        <w:tc>
          <w:tcPr>
            <w:tcW w:w="7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Managed Accessibility</w:t>
            </w:r>
          </w:p>
        </w:tc>
        <w:tc>
          <w:tcPr>
            <w:tcW w:w="2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2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500" w:type="dxa"/>
            <w:vAlign w:val="bottom"/>
          </w:tcPr>
          <w:p>
            <w:pPr>
              <w:ind w:left="20"/>
              <w:spacing w:after="0"/>
              <w:rPr>
                <w:sz w:val="20"/>
                <w:szCs w:val="20"/>
                <w:color w:val="auto"/>
              </w:rPr>
            </w:pPr>
            <w:r>
              <w:rPr>
                <w:rFonts w:ascii="Arial" w:cs="Arial" w:eastAsia="Arial" w:hAnsi="Arial"/>
                <w:sz w:val="18"/>
                <w:szCs w:val="18"/>
                <w:color w:val="auto"/>
              </w:rPr>
              <w:t>Total cash and cash equivalents and Managed Accessibility</w:t>
            </w:r>
          </w:p>
        </w:tc>
        <w:tc>
          <w:tcPr>
            <w:tcW w:w="5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241.8</w:t>
            </w:r>
          </w:p>
        </w:tc>
        <w:tc>
          <w:tcPr>
            <w:tcW w:w="6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358.8</w:t>
            </w:r>
          </w:p>
        </w:tc>
        <w:tc>
          <w:tcPr>
            <w:tcW w:w="100" w:type="dxa"/>
            <w:vAlign w:val="bottom"/>
          </w:tcPr>
          <w:p>
            <w:pPr>
              <w:spacing w:after="0"/>
              <w:rPr>
                <w:sz w:val="20"/>
                <w:szCs w:val="20"/>
                <w:color w:val="auto"/>
              </w:rPr>
            </w:pPr>
          </w:p>
        </w:tc>
      </w:tr>
      <w:tr>
        <w:trPr>
          <w:trHeight w:val="20"/>
        </w:trPr>
        <w:tc>
          <w:tcPr>
            <w:tcW w:w="7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-187960</wp:posOffset>
            </wp:positionV>
            <wp:extent cx="68580" cy="1885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January 3, 2023, the outstanding balance of the A&amp;R CDA debt was paid in full, and in compliance with the terms of that agreement reducing our cash and cash equivalents by $66.3 million.</w:t>
      </w:r>
    </w:p>
    <w:p>
      <w:pPr>
        <w:spacing w:after="0" w:line="1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Outside of funding normal operations, which includes making contractual contributions to various multi-employer pension funds and payments on equipment leases, our principal uses of cash include but is limited to paying principal and interest on our funded debt, and investments in capital expenditures.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the UST Loans and Credit Agreement, the Company has a quarterly requirement to maintain a trailing-twelve-month ("TTM") Adjusted EBITDA of $200.0 million through the maturity of these agreements. Management expects, based on actual and forecasted operating results, the Company will meet this covenant requirement for the next twelve months.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Company's cash flow activities are summarized in the table below, for the years ended December 31:</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r>
      <w:tr>
        <w:trPr>
          <w:trHeight w:val="236"/>
        </w:trPr>
        <w:tc>
          <w:tcPr>
            <w:tcW w:w="5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200" w:type="dxa"/>
            <w:vAlign w:val="bottom"/>
            <w:shd w:val="clear" w:color="auto" w:fill="CFF0FC"/>
          </w:tcPr>
          <w:p>
            <w:pPr>
              <w:spacing w:after="0"/>
              <w:rPr>
                <w:sz w:val="20"/>
                <w:szCs w:val="20"/>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121.3</w:t>
            </w:r>
          </w:p>
        </w:tc>
        <w:tc>
          <w:tcPr>
            <w:tcW w:w="320" w:type="dxa"/>
            <w:vAlign w:val="bottom"/>
            <w:shd w:val="clear" w:color="auto" w:fill="CFF0FC"/>
          </w:tcPr>
          <w:p>
            <w:pPr>
              <w:spacing w:after="0"/>
              <w:rPr>
                <w:sz w:val="20"/>
                <w:szCs w:val="20"/>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280" w:type="dxa"/>
            <w:vAlign w:val="bottom"/>
            <w:shd w:val="clear" w:color="auto" w:fill="CFF0FC"/>
          </w:tcPr>
          <w:p>
            <w:pPr>
              <w:spacing w:after="0"/>
              <w:rPr>
                <w:sz w:val="20"/>
                <w:szCs w:val="20"/>
                <w:color w:val="auto"/>
              </w:rPr>
            </w:pP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122.5</w:t>
            </w:r>
          </w:p>
        </w:tc>
        <w:tc>
          <w:tcPr>
            <w:tcW w:w="100" w:type="dxa"/>
            <w:vAlign w:val="bottom"/>
            <w:shd w:val="clear" w:color="auto" w:fill="CFF0FC"/>
          </w:tcPr>
          <w:p>
            <w:pPr>
              <w:spacing w:after="0"/>
              <w:rPr>
                <w:sz w:val="20"/>
                <w:szCs w:val="20"/>
                <w:color w:val="auto"/>
              </w:rPr>
            </w:pPr>
          </w:p>
        </w:tc>
      </w:tr>
      <w:tr>
        <w:trPr>
          <w:trHeight w:val="236"/>
        </w:trPr>
        <w:tc>
          <w:tcPr>
            <w:tcW w:w="544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(146.1 )</w:t>
            </w:r>
          </w:p>
        </w:tc>
        <w:tc>
          <w:tcPr>
            <w:tcW w:w="38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(494.0 )</w:t>
            </w:r>
          </w:p>
        </w:tc>
        <w:tc>
          <w:tcPr>
            <w:tcW w:w="380" w:type="dxa"/>
            <w:vAlign w:val="bottom"/>
          </w:tcPr>
          <w:p>
            <w:pPr>
              <w:spacing w:after="0"/>
              <w:rPr>
                <w:sz w:val="20"/>
                <w:szCs w:val="20"/>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(84.5 )</w:t>
            </w:r>
          </w:p>
        </w:tc>
      </w:tr>
      <w:tr>
        <w:trPr>
          <w:trHeight w:val="249"/>
        </w:trPr>
        <w:tc>
          <w:tcPr>
            <w:tcW w:w="5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2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(51.0 )</w:t>
            </w:r>
          </w:p>
        </w:tc>
        <w:tc>
          <w:tcPr>
            <w:tcW w:w="38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320.6</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330.8</w:t>
            </w:r>
          </w:p>
        </w:tc>
        <w:tc>
          <w:tcPr>
            <w:tcW w:w="100" w:type="dxa"/>
            <w:vAlign w:val="bottom"/>
            <w:shd w:val="clear" w:color="auto" w:fill="CFF0FC"/>
          </w:tcPr>
          <w:p>
            <w:pPr>
              <w:spacing w:after="0"/>
              <w:rPr>
                <w:sz w:val="21"/>
                <w:szCs w:val="21"/>
                <w:color w:val="auto"/>
              </w:rPr>
            </w:pPr>
          </w:p>
        </w:tc>
      </w:tr>
    </w:tbl>
    <w:p>
      <w:pPr>
        <w:spacing w:after="0" w:line="3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Cash Flow</w:t>
      </w:r>
    </w:p>
    <w:p>
      <w:pPr>
        <w:spacing w:after="0" w:line="19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increase in cash provided by operating activities for the year ended December 31, 2022 compared to the year ended December 31, 2021 was primarily attributable to an $222.7 million increase in the change in cash flow from accounts receivable during 2022 and a $130.9 million increase in net income. Additionally, operating cash flows decreased $52.6 million due to a decrease non-union pension settlement charges which was offset by a $139.8 million net decrease in cash flows and various other working capital changes included in other operating liabilities.</w:t>
      </w:r>
    </w:p>
    <w:p>
      <w:pPr>
        <w:spacing w:after="0" w:line="1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decrease in cash provided by operating activities for the year ended December 31, 2021 compared to the year ended December 31, 2020 was primarily attributable to a $118.3 million increase in accounts receivable during 2021. This growth is consistent with the positive yield growth as discussed in our Consolidated Results of Operations, and also reflects the timing of our collections. Additionally, operating cash flows decreased due to $42.8 million in payments of certain deferred employer payroll taxes, which was offset by a net increase in cash flows from various other working capital changes included in other operating liabilities.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color w:val="auto"/>
        </w:rPr>
        <w:t>Investing Cash Flow</w:t>
      </w:r>
    </w:p>
    <w:p>
      <w:pPr>
        <w:spacing w:after="0" w:line="198" w:lineRule="exact"/>
        <w:rPr>
          <w:sz w:val="20"/>
          <w:szCs w:val="20"/>
          <w:color w:val="auto"/>
        </w:rPr>
      </w:pPr>
    </w:p>
    <w:p>
      <w:pPr>
        <w:jc w:val="both"/>
        <w:spacing w:after="0" w:line="307" w:lineRule="auto"/>
        <w:rPr>
          <w:sz w:val="20"/>
          <w:szCs w:val="20"/>
          <w:color w:val="auto"/>
        </w:rPr>
      </w:pPr>
      <w:r>
        <w:rPr>
          <w:rFonts w:ascii="Arial" w:cs="Arial" w:eastAsia="Arial" w:hAnsi="Arial"/>
          <w:sz w:val="17"/>
          <w:szCs w:val="17"/>
          <w:color w:val="auto"/>
        </w:rPr>
        <w:t>The decrease of $347.9 million of cash used in investing activities for the year ended December 31, 2022 compared to the year ended December 31, 2021 was largely driven by lower outflows on revenue equipment acquisitions and higher cash proceeds from the sale of real property.</w:t>
      </w:r>
    </w:p>
    <w:p>
      <w:pPr>
        <w:spacing w:after="0" w:line="107" w:lineRule="exact"/>
        <w:rPr>
          <w:sz w:val="20"/>
          <w:szCs w:val="20"/>
          <w:color w:val="auto"/>
        </w:rPr>
      </w:pPr>
    </w:p>
    <w:p>
      <w:pPr>
        <w:jc w:val="both"/>
        <w:ind w:right="20"/>
        <w:spacing w:after="0" w:line="307" w:lineRule="auto"/>
        <w:rPr>
          <w:sz w:val="20"/>
          <w:szCs w:val="20"/>
          <w:color w:val="auto"/>
        </w:rPr>
      </w:pPr>
      <w:r>
        <w:rPr>
          <w:rFonts w:ascii="Arial" w:cs="Arial" w:eastAsia="Arial" w:hAnsi="Arial"/>
          <w:sz w:val="17"/>
          <w:szCs w:val="17"/>
          <w:color w:val="auto"/>
        </w:rPr>
        <w:t>The increase of $409.5 million of cash used in investing activities for the year ended December 31, 2021 compared to the year ended December 31, 2020 was largely driven by outflows on revenue equipment acquisitions and by lower cash proceeds from the sale of real property.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Cash Flow</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financing activities for 2022 was $51.0 million, which consists primarily of amounts repaid on our Term Loan.</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Net cash provided by financing activities for 2021 was $320.6 million, which consists primarily of amounts drawn on our UST Credit Agreements.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capital expenditures focus primarily on the replacement of revenue equipment, investments in information technology and improvements to land and structures. Our business is capital intensive with significant investments in tractors, trailers, refurbished engines, information technology and service center facilities. We determine the amount and timing of capital expenditures based on numerous factors, including availability and attractiveness of financing, anticipated liquidity levels, anticipated financial returns and other factors.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summarizes our actual net capital expenditures (net of proceeds from disposals) by type of investment for the years ended December 31:</w:t>
      </w:r>
    </w:p>
    <w:p>
      <w:pPr>
        <w:spacing w:after="0" w:line="253"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5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r>
      <w:tr>
        <w:trPr>
          <w:trHeight w:val="236"/>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Acquisition of property and equipment</w:t>
            </w: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r>
      <w:tr>
        <w:trPr>
          <w:trHeight w:val="236"/>
        </w:trPr>
        <w:tc>
          <w:tcPr>
            <w:tcW w:w="5080" w:type="dxa"/>
            <w:vAlign w:val="bottom"/>
          </w:tcPr>
          <w:p>
            <w:pPr>
              <w:ind w:left="180"/>
              <w:spacing w:after="0"/>
              <w:rPr>
                <w:sz w:val="20"/>
                <w:szCs w:val="20"/>
                <w:color w:val="auto"/>
              </w:rPr>
            </w:pPr>
            <w:r>
              <w:rPr>
                <w:rFonts w:ascii="Arial" w:cs="Arial" w:eastAsia="Arial" w:hAnsi="Arial"/>
                <w:sz w:val="18"/>
                <w:szCs w:val="18"/>
                <w:color w:val="auto"/>
              </w:rPr>
              <w:t>Revenue equipment</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105.9</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412.1</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86.8</w:t>
            </w:r>
          </w:p>
        </w:tc>
      </w:tr>
      <w:tr>
        <w:trPr>
          <w:trHeight w:val="249"/>
        </w:trPr>
        <w:tc>
          <w:tcPr>
            <w:tcW w:w="50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Land and structures</w:t>
            </w: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19.1</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22.5</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8.6</w:t>
            </w:r>
          </w:p>
        </w:tc>
      </w:tr>
      <w:tr>
        <w:trPr>
          <w:trHeight w:val="236"/>
        </w:trPr>
        <w:tc>
          <w:tcPr>
            <w:tcW w:w="5080" w:type="dxa"/>
            <w:vAlign w:val="bottom"/>
          </w:tcPr>
          <w:p>
            <w:pPr>
              <w:ind w:left="180"/>
              <w:spacing w:after="0"/>
              <w:rPr>
                <w:sz w:val="20"/>
                <w:szCs w:val="20"/>
                <w:color w:val="auto"/>
              </w:rPr>
            </w:pPr>
            <w:r>
              <w:rPr>
                <w:rFonts w:ascii="Arial" w:cs="Arial" w:eastAsia="Arial" w:hAnsi="Arial"/>
                <w:sz w:val="18"/>
                <w:szCs w:val="18"/>
                <w:color w:val="auto"/>
              </w:rPr>
              <w:t>Technology equipment and software</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48.4</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55.6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33.6</w:t>
            </w:r>
          </w:p>
        </w:tc>
      </w:tr>
      <w:tr>
        <w:trPr>
          <w:trHeight w:val="249"/>
        </w:trPr>
        <w:tc>
          <w:tcPr>
            <w:tcW w:w="508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18.4</w:t>
            </w:r>
          </w:p>
        </w:tc>
        <w:tc>
          <w:tcPr>
            <w:tcW w:w="1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11.6</w:t>
            </w:r>
          </w:p>
        </w:tc>
      </w:tr>
      <w:tr>
        <w:trPr>
          <w:trHeight w:val="236"/>
        </w:trPr>
        <w:tc>
          <w:tcPr>
            <w:tcW w:w="5080" w:type="dxa"/>
            <w:vAlign w:val="bottom"/>
          </w:tcPr>
          <w:p>
            <w:pPr>
              <w:ind w:left="360"/>
              <w:spacing w:after="0"/>
              <w:rPr>
                <w:sz w:val="20"/>
                <w:szCs w:val="20"/>
                <w:color w:val="auto"/>
              </w:rPr>
            </w:pPr>
            <w:r>
              <w:rPr>
                <w:rFonts w:ascii="Arial" w:cs="Arial" w:eastAsia="Arial" w:hAnsi="Arial"/>
                <w:sz w:val="18"/>
                <w:szCs w:val="18"/>
                <w:color w:val="auto"/>
              </w:rPr>
              <w:t>Total capital expenditures</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191.8</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497.6</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140.6</w:t>
            </w:r>
          </w:p>
        </w:tc>
      </w:tr>
      <w:tr>
        <w:trPr>
          <w:trHeight w:val="236"/>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Proceeds from disposal of property and equipment</w:t>
            </w: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r>
      <w:tr>
        <w:trPr>
          <w:trHeight w:val="236"/>
        </w:trPr>
        <w:tc>
          <w:tcPr>
            <w:tcW w:w="5080" w:type="dxa"/>
            <w:vAlign w:val="bottom"/>
          </w:tcPr>
          <w:p>
            <w:pPr>
              <w:ind w:left="180"/>
              <w:spacing w:after="0"/>
              <w:rPr>
                <w:sz w:val="20"/>
                <w:szCs w:val="20"/>
                <w:color w:val="auto"/>
              </w:rPr>
            </w:pPr>
            <w:r>
              <w:rPr>
                <w:rFonts w:ascii="Arial" w:cs="Arial" w:eastAsia="Arial" w:hAnsi="Arial"/>
                <w:sz w:val="18"/>
                <w:szCs w:val="18"/>
                <w:color w:val="auto"/>
              </w:rPr>
              <w:t>Land and structures</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(42.9 )</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(1.1 )</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(52.6 )</w:t>
            </w:r>
          </w:p>
        </w:tc>
      </w:tr>
      <w:tr>
        <w:trPr>
          <w:trHeight w:val="249"/>
        </w:trPr>
        <w:tc>
          <w:tcPr>
            <w:tcW w:w="508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w w:val="90"/>
              </w:rPr>
              <w:t>Revenue equipment, technology equipment and software and other</w:t>
            </w:r>
          </w:p>
        </w:tc>
        <w:tc>
          <w:tcPr>
            <w:tcW w:w="1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(2.8 )</w:t>
            </w:r>
          </w:p>
        </w:tc>
        <w:tc>
          <w:tcPr>
            <w:tcW w:w="1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(2.5 )</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(3.5 )</w:t>
            </w:r>
          </w:p>
        </w:tc>
      </w:tr>
      <w:tr>
        <w:trPr>
          <w:trHeight w:val="236"/>
        </w:trPr>
        <w:tc>
          <w:tcPr>
            <w:tcW w:w="5080" w:type="dxa"/>
            <w:vAlign w:val="bottom"/>
          </w:tcPr>
          <w:p>
            <w:pPr>
              <w:ind w:left="360"/>
              <w:spacing w:after="0"/>
              <w:rPr>
                <w:sz w:val="20"/>
                <w:szCs w:val="20"/>
                <w:color w:val="auto"/>
              </w:rPr>
            </w:pPr>
            <w:r>
              <w:rPr>
                <w:rFonts w:ascii="Arial" w:cs="Arial" w:eastAsia="Arial" w:hAnsi="Arial"/>
                <w:sz w:val="18"/>
                <w:szCs w:val="18"/>
                <w:color w:val="auto"/>
              </w:rPr>
              <w:t>Total proceeds</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(45.7 )</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(3.6 )</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(56.1 )</w:t>
            </w:r>
          </w:p>
        </w:tc>
      </w:tr>
      <w:tr>
        <w:trPr>
          <w:trHeight w:val="276"/>
        </w:trPr>
        <w:tc>
          <w:tcPr>
            <w:tcW w:w="5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net capital expenditures</w:t>
            </w:r>
          </w:p>
        </w:tc>
        <w:tc>
          <w:tcPr>
            <w:tcW w:w="1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146.1</w:t>
            </w:r>
          </w:p>
        </w:tc>
        <w:tc>
          <w:tcPr>
            <w:tcW w:w="1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494.0</w:t>
            </w:r>
          </w:p>
        </w:tc>
        <w:tc>
          <w:tcPr>
            <w:tcW w:w="1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84.5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4791075</wp:posOffset>
            </wp:positionH>
            <wp:positionV relativeFrom="paragraph">
              <wp:posOffset>-984250</wp:posOffset>
            </wp:positionV>
            <wp:extent cx="85725" cy="171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5613400</wp:posOffset>
            </wp:positionH>
            <wp:positionV relativeFrom="paragraph">
              <wp:posOffset>-984250</wp:posOffset>
            </wp:positionV>
            <wp:extent cx="76835" cy="171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4791075</wp:posOffset>
            </wp:positionH>
            <wp:positionV relativeFrom="paragraph">
              <wp:posOffset>-350520</wp:posOffset>
            </wp:positionV>
            <wp:extent cx="85725" cy="1714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5613400</wp:posOffset>
            </wp:positionH>
            <wp:positionV relativeFrom="paragraph">
              <wp:posOffset>-350520</wp:posOffset>
            </wp:positionV>
            <wp:extent cx="76835" cy="1714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4791075</wp:posOffset>
            </wp:positionH>
            <wp:positionV relativeFrom="paragraph">
              <wp:posOffset>-24765</wp:posOffset>
            </wp:positionV>
            <wp:extent cx="857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4791075</wp:posOffset>
            </wp:positionH>
            <wp:positionV relativeFrom="paragraph">
              <wp:posOffset>-7620</wp:posOffset>
            </wp:positionV>
            <wp:extent cx="857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5613400</wp:posOffset>
            </wp:positionH>
            <wp:positionV relativeFrom="paragraph">
              <wp:posOffset>-24765</wp:posOffset>
            </wp:positionV>
            <wp:extent cx="768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5613400</wp:posOffset>
            </wp:positionH>
            <wp:positionV relativeFrom="paragraph">
              <wp:posOffset>-7620</wp:posOffset>
            </wp:positionV>
            <wp:extent cx="768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8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capital expenditures for revenue equipment were used primarily to fund the purchase of tractors, trailers and containers and to refurbish engines for our revenue equipment fleet. We also acquire our equipment through operating leases which will vary based on current and anticipated liquidity and lease financing options. For the years ended December 31, 2022 and 2021, we focused on revenue equipment capital expenditures, as detailed above, and not entering new operating leases. As of December 31, 2022, our undiscounted operating lease obligations through 2036 totaled $198.6 million.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Other Commercial Commitments</w:t>
      </w:r>
    </w:p>
    <w:p>
      <w:pPr>
        <w:spacing w:after="0" w:line="19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sections provide certain aggregated information regarding our contractual obligations and commercial commitments as of December 31, 2022 with a focus on obligations and commitments not disclosed elsewhere in this report.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color w:val="auto"/>
        </w:rPr>
        <w:t>Contractual Cash Obligations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Material contractual obligations arising in the normal course of business primarily consist of long-term debt and interest payments, operating leases, pension deferral principal and interest payments, and workers' compensation and third-party liability claim obligations. The following table reflects our material cash outflows that we are contractually obligated to make related to long-term debt, including interest, and operating leases as of December 31, 2022:</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6"/>
          </w:tcPr>
          <w:p>
            <w:pPr>
              <w:jc w:val="center"/>
              <w:ind w:left="536"/>
              <w:spacing w:after="0"/>
              <w:rPr>
                <w:sz w:val="20"/>
                <w:szCs w:val="20"/>
                <w:color w:val="auto"/>
              </w:rPr>
            </w:pPr>
            <w:r>
              <w:rPr>
                <w:rFonts w:ascii="Arial" w:cs="Arial" w:eastAsia="Arial" w:hAnsi="Arial"/>
                <w:sz w:val="14"/>
                <w:szCs w:val="14"/>
                <w:b w:val="1"/>
                <w:bCs w:val="1"/>
                <w:color w:val="auto"/>
                <w:w w:val="92"/>
              </w:rPr>
              <w:t>Payments Due by Period</w:t>
            </w:r>
          </w:p>
        </w:tc>
        <w:tc>
          <w:tcPr>
            <w:tcW w:w="7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1"/>
                <w:szCs w:val="11"/>
                <w:color w:val="auto"/>
              </w:rPr>
            </w:pPr>
          </w:p>
        </w:tc>
        <w:tc>
          <w:tcPr>
            <w:tcW w:w="78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136"/>
              <w:spacing w:after="0" w:line="133" w:lineRule="exact"/>
              <w:rPr>
                <w:sz w:val="20"/>
                <w:szCs w:val="20"/>
                <w:color w:val="auto"/>
              </w:rPr>
            </w:pPr>
            <w:r>
              <w:rPr>
                <w:rFonts w:ascii="Arial" w:cs="Arial" w:eastAsia="Arial" w:hAnsi="Arial"/>
                <w:sz w:val="14"/>
                <w:szCs w:val="14"/>
                <w:b w:val="1"/>
                <w:bCs w:val="1"/>
                <w:color w:val="auto"/>
                <w:w w:val="94"/>
              </w:rPr>
              <w:t>Less than</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jc w:val="center"/>
              <w:ind w:right="134"/>
              <w:spacing w:after="0" w:line="133" w:lineRule="exact"/>
              <w:rPr>
                <w:sz w:val="20"/>
                <w:szCs w:val="20"/>
                <w:color w:val="auto"/>
              </w:rPr>
            </w:pPr>
            <w:r>
              <w:rPr>
                <w:rFonts w:ascii="Arial" w:cs="Arial" w:eastAsia="Arial" w:hAnsi="Arial"/>
                <w:sz w:val="14"/>
                <w:szCs w:val="14"/>
                <w:b w:val="1"/>
                <w:bCs w:val="1"/>
                <w:color w:val="auto"/>
                <w:w w:val="88"/>
              </w:rPr>
              <w:t>1-3</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ind w:right="314"/>
              <w:spacing w:after="0" w:line="133" w:lineRule="exact"/>
              <w:rPr>
                <w:sz w:val="20"/>
                <w:szCs w:val="20"/>
                <w:color w:val="auto"/>
              </w:rPr>
            </w:pPr>
            <w:r>
              <w:rPr>
                <w:rFonts w:ascii="Arial" w:cs="Arial" w:eastAsia="Arial" w:hAnsi="Arial"/>
                <w:sz w:val="14"/>
                <w:szCs w:val="14"/>
                <w:b w:val="1"/>
                <w:bCs w:val="1"/>
                <w:color w:val="auto"/>
              </w:rPr>
              <w:t>3-5</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jc w:val="right"/>
              <w:ind w:right="274"/>
              <w:spacing w:after="0" w:line="133" w:lineRule="exact"/>
              <w:rPr>
                <w:sz w:val="20"/>
                <w:szCs w:val="20"/>
                <w:color w:val="auto"/>
              </w:rPr>
            </w:pPr>
            <w:r>
              <w:rPr>
                <w:rFonts w:ascii="Arial" w:cs="Arial" w:eastAsia="Arial" w:hAnsi="Arial"/>
                <w:sz w:val="14"/>
                <w:szCs w:val="14"/>
                <w:b w:val="1"/>
                <w:bCs w:val="1"/>
                <w:color w:val="auto"/>
              </w:rPr>
              <w:t>After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51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236"/>
              <w:spacing w:after="0"/>
              <w:rPr>
                <w:sz w:val="20"/>
                <w:szCs w:val="20"/>
                <w:color w:val="auto"/>
              </w:rPr>
            </w:pPr>
            <w:r>
              <w:rPr>
                <w:rFonts w:ascii="Arial" w:cs="Arial" w:eastAsia="Arial" w:hAnsi="Arial"/>
                <w:sz w:val="14"/>
                <w:szCs w:val="14"/>
                <w:b w:val="1"/>
                <w:bCs w:val="1"/>
                <w:color w:val="auto"/>
              </w:rPr>
              <w:t>1 year</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center"/>
              <w:ind w:right="134"/>
              <w:spacing w:after="0"/>
              <w:rPr>
                <w:sz w:val="20"/>
                <w:szCs w:val="20"/>
                <w:color w:val="auto"/>
              </w:rPr>
            </w:pPr>
            <w:r>
              <w:rPr>
                <w:rFonts w:ascii="Arial" w:cs="Arial" w:eastAsia="Arial" w:hAnsi="Arial"/>
                <w:sz w:val="14"/>
                <w:szCs w:val="14"/>
                <w:b w:val="1"/>
                <w:bCs w:val="1"/>
                <w:color w:val="auto"/>
                <w:w w:val="92"/>
              </w:rPr>
              <w:t>years</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ind w:right="254"/>
              <w:spacing w:after="0"/>
              <w:rPr>
                <w:sz w:val="20"/>
                <w:szCs w:val="20"/>
                <w:color w:val="auto"/>
              </w:rPr>
            </w:pPr>
            <w:r>
              <w:rPr>
                <w:rFonts w:ascii="Arial" w:cs="Arial" w:eastAsia="Arial" w:hAnsi="Arial"/>
                <w:sz w:val="14"/>
                <w:szCs w:val="14"/>
                <w:b w:val="1"/>
                <w:bCs w:val="1"/>
                <w:color w:val="auto"/>
              </w:rPr>
              <w:t>years</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ind w:right="214"/>
              <w:spacing w:after="0"/>
              <w:rPr>
                <w:sz w:val="20"/>
                <w:szCs w:val="20"/>
                <w:color w:val="auto"/>
              </w:rPr>
            </w:pPr>
            <w:r>
              <w:rPr>
                <w:rFonts w:ascii="Arial" w:cs="Arial" w:eastAsia="Arial" w:hAnsi="Arial"/>
                <w:sz w:val="14"/>
                <w:szCs w:val="14"/>
                <w:b w:val="1"/>
                <w:bCs w:val="1"/>
                <w:color w:val="auto"/>
              </w:rPr>
              <w:t>5 years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060" w:type="dxa"/>
            <w:vAlign w:val="bottom"/>
            <w:tcBorders>
              <w:top w:val="single" w:sz="8" w:color="auto"/>
            </w:tcBorders>
            <w:shd w:val="clear" w:color="auto" w:fill="CFF0FC"/>
          </w:tcPr>
          <w:p>
            <w:pPr>
              <w:ind w:left="20"/>
              <w:spacing w:after="0" w:line="236" w:lineRule="exact"/>
              <w:rPr>
                <w:sz w:val="20"/>
                <w:szCs w:val="20"/>
                <w:color w:val="auto"/>
              </w:rPr>
            </w:pPr>
            <w:r>
              <w:rPr>
                <w:rFonts w:ascii="Arial" w:cs="Arial" w:eastAsia="Arial" w:hAnsi="Arial"/>
                <w:sz w:val="18"/>
                <w:szCs w:val="18"/>
                <w:color w:val="auto"/>
              </w:rPr>
              <w:t>ABL Facility</w:t>
            </w:r>
            <w:r>
              <w:rPr>
                <w:rFonts w:ascii="Arial" w:cs="Arial" w:eastAsia="Arial" w:hAnsi="Arial"/>
                <w:sz w:val="24"/>
                <w:szCs w:val="24"/>
                <w:color w:val="auto"/>
                <w:vertAlign w:val="superscript"/>
              </w:rPr>
              <w:t>(a)</w:t>
            </w:r>
          </w:p>
        </w:tc>
        <w:tc>
          <w:tcPr>
            <w:tcW w:w="12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w:t>
            </w:r>
          </w:p>
        </w:tc>
        <w:tc>
          <w:tcPr>
            <w:tcW w:w="26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22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w:t>
            </w:r>
          </w:p>
        </w:tc>
        <w:tc>
          <w:tcPr>
            <w:tcW w:w="24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80" w:type="dxa"/>
            <w:vAlign w:val="bottom"/>
            <w:gridSpan w:val="2"/>
          </w:tcPr>
          <w:p>
            <w:pPr>
              <w:ind w:left="20"/>
              <w:spacing w:after="0" w:line="243" w:lineRule="exact"/>
              <w:rPr>
                <w:sz w:val="20"/>
                <w:szCs w:val="20"/>
                <w:color w:val="auto"/>
              </w:rPr>
            </w:pPr>
            <w:r>
              <w:rPr>
                <w:rFonts w:ascii="Arial" w:cs="Arial" w:eastAsia="Arial" w:hAnsi="Arial"/>
                <w:sz w:val="18"/>
                <w:szCs w:val="18"/>
                <w:color w:val="auto"/>
              </w:rPr>
              <w:t>Term Loan</w:t>
            </w:r>
            <w:r>
              <w:rPr>
                <w:rFonts w:ascii="Arial" w:cs="Arial" w:eastAsia="Arial" w:hAnsi="Arial"/>
                <w:sz w:val="24"/>
                <w:szCs w:val="24"/>
                <w:color w:val="auto"/>
                <w:vertAlign w:val="superscript"/>
              </w:rPr>
              <w:t>(b)</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671.8</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68.0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603.8</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80" w:type="dxa"/>
            <w:vAlign w:val="bottom"/>
            <w:gridSpan w:val="2"/>
            <w:shd w:val="clear" w:color="auto" w:fill="CFF0FC"/>
          </w:tcPr>
          <w:p>
            <w:pPr>
              <w:ind w:left="20"/>
              <w:spacing w:after="0" w:line="243" w:lineRule="exact"/>
              <w:rPr>
                <w:sz w:val="20"/>
                <w:szCs w:val="20"/>
                <w:color w:val="auto"/>
              </w:rPr>
            </w:pPr>
            <w:r>
              <w:rPr>
                <w:rFonts w:ascii="Arial" w:cs="Arial" w:eastAsia="Arial" w:hAnsi="Arial"/>
                <w:sz w:val="18"/>
                <w:szCs w:val="18"/>
                <w:color w:val="auto"/>
              </w:rPr>
              <w:t>UST Loans</w:t>
            </w:r>
            <w:r>
              <w:rPr>
                <w:rFonts w:ascii="Arial" w:cs="Arial" w:eastAsia="Arial" w:hAnsi="Arial"/>
                <w:sz w:val="24"/>
                <w:szCs w:val="24"/>
                <w:color w:val="auto"/>
                <w:vertAlign w:val="superscript"/>
              </w:rPr>
              <w:t>(c)</w:t>
            </w: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829.9</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792.8</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80" w:type="dxa"/>
            <w:vAlign w:val="bottom"/>
            <w:gridSpan w:val="2"/>
          </w:tcPr>
          <w:p>
            <w:pPr>
              <w:ind w:left="20"/>
              <w:spacing w:after="0" w:line="243" w:lineRule="exact"/>
              <w:rPr>
                <w:sz w:val="20"/>
                <w:szCs w:val="20"/>
                <w:color w:val="auto"/>
              </w:rPr>
            </w:pPr>
            <w:r>
              <w:rPr>
                <w:rFonts w:ascii="Arial" w:cs="Arial" w:eastAsia="Arial" w:hAnsi="Arial"/>
                <w:sz w:val="18"/>
                <w:szCs w:val="18"/>
                <w:color w:val="auto"/>
              </w:rPr>
              <w:t>Lease financing obligations</w:t>
            </w:r>
            <w:r>
              <w:rPr>
                <w:rFonts w:ascii="Arial" w:cs="Arial" w:eastAsia="Arial" w:hAnsi="Arial"/>
                <w:sz w:val="24"/>
                <w:szCs w:val="24"/>
                <w:color w:val="auto"/>
                <w:vertAlign w:val="superscript"/>
              </w:rPr>
              <w:t>(d)</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259.0</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84.8</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77.7</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80" w:type="dxa"/>
            <w:vAlign w:val="bottom"/>
            <w:gridSpan w:val="2"/>
            <w:shd w:val="clear" w:color="auto" w:fill="CFF0FC"/>
          </w:tcPr>
          <w:p>
            <w:pPr>
              <w:ind w:left="20"/>
              <w:spacing w:after="0" w:line="243" w:lineRule="exact"/>
              <w:rPr>
                <w:sz w:val="20"/>
                <w:szCs w:val="20"/>
                <w:color w:val="auto"/>
              </w:rPr>
            </w:pPr>
            <w:r>
              <w:rPr>
                <w:rFonts w:ascii="Arial" w:cs="Arial" w:eastAsia="Arial" w:hAnsi="Arial"/>
                <w:sz w:val="18"/>
                <w:szCs w:val="18"/>
                <w:color w:val="auto"/>
              </w:rPr>
              <w:t>Pension deferral obligations</w:t>
            </w:r>
            <w:r>
              <w:rPr>
                <w:rFonts w:ascii="Arial" w:cs="Arial" w:eastAsia="Arial" w:hAnsi="Arial"/>
                <w:sz w:val="24"/>
                <w:szCs w:val="24"/>
                <w:color w:val="auto"/>
                <w:vertAlign w:val="superscript"/>
              </w:rPr>
              <w:t>(e)</w:t>
            </w: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66.3</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66.3</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80" w:type="dxa"/>
            <w:vAlign w:val="bottom"/>
            <w:gridSpan w:val="2"/>
          </w:tcPr>
          <w:p>
            <w:pPr>
              <w:ind w:left="20"/>
              <w:spacing w:after="0" w:line="243" w:lineRule="exact"/>
              <w:rPr>
                <w:sz w:val="20"/>
                <w:szCs w:val="20"/>
                <w:color w:val="auto"/>
              </w:rPr>
            </w:pPr>
            <w:r>
              <w:rPr>
                <w:rFonts w:ascii="Arial" w:cs="Arial" w:eastAsia="Arial" w:hAnsi="Arial"/>
                <w:sz w:val="18"/>
                <w:szCs w:val="18"/>
                <w:color w:val="auto"/>
              </w:rPr>
              <w:t>Operating leases</w:t>
            </w:r>
            <w:r>
              <w:rPr>
                <w:rFonts w:ascii="Arial" w:cs="Arial" w:eastAsia="Arial" w:hAnsi="Arial"/>
                <w:sz w:val="24"/>
                <w:szCs w:val="24"/>
                <w:color w:val="auto"/>
                <w:vertAlign w:val="superscript"/>
              </w:rPr>
              <w:t>(f)</w:t>
            </w: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198.6</w:t>
            </w: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w:t>
            </w:r>
          </w:p>
        </w:tc>
        <w:tc>
          <w:tcPr>
            <w:tcW w:w="2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18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2,049.8</w:t>
            </w:r>
          </w:p>
        </w:tc>
        <w:tc>
          <w:tcPr>
            <w:tcW w:w="26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290.9</w:t>
            </w:r>
          </w:p>
        </w:tc>
        <w:tc>
          <w:tcPr>
            <w:tcW w:w="22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1,553.9</w:t>
            </w:r>
          </w:p>
        </w:tc>
        <w:tc>
          <w:tcPr>
            <w:tcW w:w="24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114.0</w:t>
            </w:r>
          </w:p>
        </w:tc>
        <w:tc>
          <w:tcPr>
            <w:tcW w:w="22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91.0</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3935095</wp:posOffset>
            </wp:positionH>
            <wp:positionV relativeFrom="paragraph">
              <wp:posOffset>-24765</wp:posOffset>
            </wp:positionV>
            <wp:extent cx="768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3935095</wp:posOffset>
            </wp:positionH>
            <wp:positionV relativeFrom="paragraph">
              <wp:posOffset>-7620</wp:posOffset>
            </wp:positionV>
            <wp:extent cx="768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4731385</wp:posOffset>
            </wp:positionH>
            <wp:positionV relativeFrom="paragraph">
              <wp:posOffset>-24765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4731385</wp:posOffset>
            </wp:positionH>
            <wp:positionV relativeFrom="paragraph">
              <wp:posOffset>-7620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5502275</wp:posOffset>
            </wp:positionH>
            <wp:positionV relativeFrom="paragraph">
              <wp:posOffset>-24765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5502275</wp:posOffset>
            </wp:positionH>
            <wp:positionV relativeFrom="paragraph">
              <wp:posOffset>-7620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6272530</wp:posOffset>
            </wp:positionH>
            <wp:positionV relativeFrom="paragraph">
              <wp:posOffset>-24765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6272530</wp:posOffset>
            </wp:positionH>
            <wp:positionV relativeFrom="paragraph">
              <wp:posOffset>-7620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8" w:lineRule="exact"/>
        <w:rPr>
          <w:sz w:val="20"/>
          <w:szCs w:val="20"/>
          <w:color w:val="auto"/>
        </w:rPr>
      </w:pPr>
    </w:p>
    <w:p>
      <w:pPr>
        <w:ind w:left="520" w:hanging="377"/>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ABL Facility includes future payments for the letter of credit and unused line fees and are not included on the Company’s consolidated balance sheets.</w:t>
      </w:r>
    </w:p>
    <w:p>
      <w:pPr>
        <w:ind w:left="520" w:hanging="377"/>
        <w:spacing w:after="0" w:line="221" w:lineRule="auto"/>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Term Loan includes principal and interest payments but excludes unamortized discounts.</w:t>
      </w:r>
    </w:p>
    <w:p>
      <w:pPr>
        <w:ind w:left="520" w:hanging="377"/>
        <w:spacing w:after="0" w:line="221" w:lineRule="auto"/>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UST Loans includes principal and interest payments, including paid-in-kind interest.</w:t>
      </w:r>
    </w:p>
    <w:p>
      <w:pPr>
        <w:ind w:left="520" w:hanging="377"/>
        <w:spacing w:after="0" w:line="221" w:lineRule="auto"/>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lease financing obligations consist primarily of interest payments.</w:t>
      </w:r>
    </w:p>
    <w:p>
      <w:pPr>
        <w:ind w:left="520" w:hanging="377"/>
        <w:spacing w:after="0" w:line="221" w:lineRule="auto"/>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Pension deferral obligations includes principal and interest payments on the Second A&amp;R CDA. On January 3, 2023, the outstanding balance of the A&amp;R CDA was paid in full, and in compliance with the terms of that agreement reducing our obligations by $66.3 million.</w:t>
      </w:r>
    </w:p>
    <w:p>
      <w:pPr>
        <w:ind w:left="520" w:hanging="377"/>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Operating leases represent future payments under contractual lease arrangements primarily for revenue equipment and land and structures.</w:t>
      </w:r>
    </w:p>
    <w:p>
      <w:pPr>
        <w:spacing w:after="0" w:line="15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expect cash contributions, if required at all, for our non-union sponsored pension plans to be nominal in 2023 and in years thereafter. Additional details on self-insurance accruals for claims are also available in Note 2 to the consolidated financial statements included in Part II, Item 8 of this Annual Report on Form 10-K.</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Commercial Commitments</w:t>
      </w:r>
    </w:p>
    <w:p>
      <w:pPr>
        <w:spacing w:after="0" w:line="18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table reflects other commercial commitments or potential cash outflows that may result from a contingent event, such as a need to borrow short-term funds due to insufficient cash flow.</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7"/>
          </w:tcPr>
          <w:p>
            <w:pPr>
              <w:jc w:val="center"/>
              <w:ind w:right="76"/>
              <w:spacing w:after="0"/>
              <w:rPr>
                <w:sz w:val="20"/>
                <w:szCs w:val="20"/>
                <w:color w:val="auto"/>
              </w:rPr>
            </w:pPr>
            <w:r>
              <w:rPr>
                <w:rFonts w:ascii="Arial" w:cs="Arial" w:eastAsia="Arial" w:hAnsi="Arial"/>
                <w:sz w:val="14"/>
                <w:szCs w:val="14"/>
                <w:b w:val="1"/>
                <w:bCs w:val="1"/>
                <w:color w:val="auto"/>
                <w:w w:val="94"/>
              </w:rPr>
              <w:t>Amount of Commitment Expiration Per Period</w:t>
            </w:r>
          </w:p>
        </w:tc>
        <w:tc>
          <w:tcPr>
            <w:tcW w:w="2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1"/>
                <w:szCs w:val="11"/>
                <w:color w:val="auto"/>
              </w:rPr>
            </w:pPr>
          </w:p>
        </w:tc>
        <w:tc>
          <w:tcPr>
            <w:tcW w:w="80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jc w:val="right"/>
              <w:ind w:right="118"/>
              <w:spacing w:after="0" w:line="133" w:lineRule="exact"/>
              <w:rPr>
                <w:sz w:val="20"/>
                <w:szCs w:val="20"/>
                <w:color w:val="auto"/>
              </w:rPr>
            </w:pPr>
            <w:r>
              <w:rPr>
                <w:rFonts w:ascii="Arial" w:cs="Arial" w:eastAsia="Arial" w:hAnsi="Arial"/>
                <w:sz w:val="14"/>
                <w:szCs w:val="14"/>
                <w:b w:val="1"/>
                <w:bCs w:val="1"/>
                <w:color w:val="auto"/>
                <w:w w:val="94"/>
              </w:rPr>
              <w:t>Less than</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jc w:val="center"/>
              <w:ind w:right="136"/>
              <w:spacing w:after="0" w:line="133" w:lineRule="exact"/>
              <w:rPr>
                <w:sz w:val="20"/>
                <w:szCs w:val="20"/>
                <w:color w:val="auto"/>
              </w:rPr>
            </w:pPr>
            <w:r>
              <w:rPr>
                <w:rFonts w:ascii="Arial" w:cs="Arial" w:eastAsia="Arial" w:hAnsi="Arial"/>
                <w:sz w:val="14"/>
                <w:szCs w:val="14"/>
                <w:b w:val="1"/>
                <w:bCs w:val="1"/>
                <w:color w:val="auto"/>
                <w:w w:val="88"/>
              </w:rPr>
              <w:t>1-3</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200"/>
              <w:spacing w:after="0" w:line="133" w:lineRule="exact"/>
              <w:rPr>
                <w:sz w:val="20"/>
                <w:szCs w:val="20"/>
                <w:color w:val="auto"/>
              </w:rPr>
            </w:pPr>
            <w:r>
              <w:rPr>
                <w:rFonts w:ascii="Arial" w:cs="Arial" w:eastAsia="Arial" w:hAnsi="Arial"/>
                <w:sz w:val="14"/>
                <w:szCs w:val="14"/>
                <w:b w:val="1"/>
                <w:bCs w:val="1"/>
                <w:color w:val="auto"/>
              </w:rPr>
              <w:t>3-5</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160"/>
              <w:spacing w:after="0" w:line="133" w:lineRule="exact"/>
              <w:rPr>
                <w:sz w:val="20"/>
                <w:szCs w:val="20"/>
                <w:color w:val="auto"/>
              </w:rPr>
            </w:pPr>
            <w:r>
              <w:rPr>
                <w:rFonts w:ascii="Arial" w:cs="Arial" w:eastAsia="Arial" w:hAnsi="Arial"/>
                <w:sz w:val="14"/>
                <w:szCs w:val="14"/>
                <w:b w:val="1"/>
                <w:bCs w:val="1"/>
                <w:color w:val="auto"/>
              </w:rPr>
              <w:t>After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52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238"/>
              <w:spacing w:after="0"/>
              <w:rPr>
                <w:sz w:val="20"/>
                <w:szCs w:val="20"/>
                <w:color w:val="auto"/>
              </w:rPr>
            </w:pPr>
            <w:r>
              <w:rPr>
                <w:rFonts w:ascii="Arial" w:cs="Arial" w:eastAsia="Arial" w:hAnsi="Arial"/>
                <w:sz w:val="14"/>
                <w:szCs w:val="14"/>
                <w:b w:val="1"/>
                <w:bCs w:val="1"/>
                <w:color w:val="auto"/>
              </w:rPr>
              <w:t>1 year</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center"/>
              <w:ind w:right="136"/>
              <w:spacing w:after="0"/>
              <w:rPr>
                <w:sz w:val="20"/>
                <w:szCs w:val="20"/>
                <w:color w:val="auto"/>
              </w:rPr>
            </w:pPr>
            <w:r>
              <w:rPr>
                <w:rFonts w:ascii="Arial" w:cs="Arial" w:eastAsia="Arial" w:hAnsi="Arial"/>
                <w:sz w:val="14"/>
                <w:szCs w:val="14"/>
                <w:b w:val="1"/>
                <w:bCs w:val="1"/>
                <w:color w:val="auto"/>
                <w:w w:val="92"/>
              </w:rPr>
              <w:t>years</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ind w:left="120"/>
              <w:spacing w:after="0"/>
              <w:rPr>
                <w:sz w:val="20"/>
                <w:szCs w:val="20"/>
                <w:color w:val="auto"/>
              </w:rPr>
            </w:pPr>
            <w:r>
              <w:rPr>
                <w:rFonts w:ascii="Arial" w:cs="Arial" w:eastAsia="Arial" w:hAnsi="Arial"/>
                <w:sz w:val="14"/>
                <w:szCs w:val="14"/>
                <w:b w:val="1"/>
                <w:bCs w:val="1"/>
                <w:color w:val="auto"/>
              </w:rPr>
              <w:t>years</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ind w:left="100"/>
              <w:spacing w:after="0"/>
              <w:rPr>
                <w:sz w:val="20"/>
                <w:szCs w:val="20"/>
                <w:color w:val="auto"/>
              </w:rPr>
            </w:pPr>
            <w:r>
              <w:rPr>
                <w:rFonts w:ascii="Arial" w:cs="Arial" w:eastAsia="Arial" w:hAnsi="Arial"/>
                <w:sz w:val="14"/>
                <w:szCs w:val="14"/>
                <w:b w:val="1"/>
                <w:bCs w:val="1"/>
                <w:color w:val="auto"/>
              </w:rPr>
              <w:t>5 years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060" w:type="dxa"/>
            <w:vAlign w:val="bottom"/>
            <w:tcBorders>
              <w:top w:val="single" w:sz="8" w:color="auto"/>
            </w:tcBorders>
            <w:shd w:val="clear" w:color="auto" w:fill="CFF0FC"/>
          </w:tcPr>
          <w:p>
            <w:pPr>
              <w:ind w:left="20"/>
              <w:spacing w:after="0" w:line="236" w:lineRule="exact"/>
              <w:rPr>
                <w:sz w:val="20"/>
                <w:szCs w:val="20"/>
                <w:color w:val="auto"/>
              </w:rPr>
            </w:pPr>
            <w:r>
              <w:rPr>
                <w:rFonts w:ascii="Arial" w:cs="Arial" w:eastAsia="Arial" w:hAnsi="Arial"/>
                <w:sz w:val="18"/>
                <w:szCs w:val="18"/>
                <w:color w:val="auto"/>
              </w:rPr>
              <w:t>ABL Facility availability</w:t>
            </w:r>
            <w:r>
              <w:rPr>
                <w:rFonts w:ascii="Arial" w:cs="Arial" w:eastAsia="Arial" w:hAnsi="Arial"/>
                <w:sz w:val="24"/>
                <w:szCs w:val="24"/>
                <w:color w:val="auto"/>
                <w:vertAlign w:val="superscript"/>
              </w:rPr>
              <w:t>(a)</w:t>
            </w:r>
          </w:p>
        </w:tc>
        <w:tc>
          <w:tcPr>
            <w:tcW w:w="14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47.7</w:t>
            </w:r>
          </w:p>
        </w:tc>
        <w:tc>
          <w:tcPr>
            <w:tcW w:w="2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47.7</w:t>
            </w:r>
          </w:p>
        </w:tc>
        <w:tc>
          <w:tcPr>
            <w:tcW w:w="24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ind w:left="58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00" w:type="dxa"/>
            <w:vAlign w:val="bottom"/>
            <w:gridSpan w:val="2"/>
          </w:tcPr>
          <w:p>
            <w:pPr>
              <w:ind w:left="20"/>
              <w:spacing w:after="0" w:line="243" w:lineRule="exact"/>
              <w:rPr>
                <w:sz w:val="20"/>
                <w:szCs w:val="20"/>
                <w:color w:val="auto"/>
              </w:rPr>
            </w:pPr>
            <w:r>
              <w:rPr>
                <w:rFonts w:ascii="Arial" w:cs="Arial" w:eastAsia="Arial" w:hAnsi="Arial"/>
                <w:sz w:val="18"/>
                <w:szCs w:val="18"/>
                <w:color w:val="auto"/>
              </w:rPr>
              <w:t>Letters of credit</w:t>
            </w:r>
            <w:r>
              <w:rPr>
                <w:rFonts w:ascii="Arial" w:cs="Arial" w:eastAsia="Arial" w:hAnsi="Arial"/>
                <w:sz w:val="24"/>
                <w:szCs w:val="24"/>
                <w:color w:val="auto"/>
                <w:vertAlign w:val="superscript"/>
              </w:rPr>
              <w:t>(b)</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361.8</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361.8</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ind w:left="58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0" w:type="dxa"/>
            <w:vAlign w:val="bottom"/>
            <w:tcBorders>
              <w:bottom w:val="single" w:sz="8" w:color="CFF0FC"/>
            </w:tcBorders>
            <w:gridSpan w:val="2"/>
            <w:shd w:val="clear" w:color="auto" w:fill="CFF0FC"/>
          </w:tcPr>
          <w:p>
            <w:pPr>
              <w:ind w:left="20"/>
              <w:spacing w:after="0" w:line="243" w:lineRule="exact"/>
              <w:rPr>
                <w:sz w:val="20"/>
                <w:szCs w:val="20"/>
                <w:color w:val="auto"/>
              </w:rPr>
            </w:pPr>
            <w:r>
              <w:rPr>
                <w:rFonts w:ascii="Arial" w:cs="Arial" w:eastAsia="Arial" w:hAnsi="Arial"/>
                <w:sz w:val="18"/>
                <w:szCs w:val="18"/>
                <w:color w:val="auto"/>
              </w:rPr>
              <w:t>Surety bonds</w:t>
            </w:r>
            <w:r>
              <w:rPr>
                <w:rFonts w:ascii="Arial" w:cs="Arial" w:eastAsia="Arial" w:hAnsi="Arial"/>
                <w:sz w:val="24"/>
                <w:szCs w:val="24"/>
                <w:color w:val="auto"/>
                <w:vertAlign w:val="superscript"/>
              </w:rPr>
              <w:t>(c)</w:t>
            </w:r>
          </w:p>
        </w:tc>
        <w:tc>
          <w:tcPr>
            <w:tcW w:w="22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93.2</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60.5</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ind w:left="58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Total commercial commitments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502.7</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60.5</w:t>
            </w:r>
          </w:p>
        </w:tc>
        <w:tc>
          <w:tcPr>
            <w:tcW w:w="4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442.2</w:t>
            </w:r>
          </w:p>
        </w:tc>
        <w:tc>
          <w:tcPr>
            <w:tcW w:w="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Pr>
          <w:p>
            <w:pPr>
              <w:ind w:left="580"/>
              <w:spacing w:after="0"/>
              <w:rPr>
                <w:sz w:val="20"/>
                <w:szCs w:val="20"/>
                <w:color w:val="auto"/>
              </w:rPr>
            </w:pPr>
            <w:r>
              <w:rPr>
                <w:rFonts w:ascii="Arial" w:cs="Arial" w:eastAsia="Arial" w:hAnsi="Arial"/>
                <w:sz w:val="18"/>
                <w:szCs w:val="18"/>
                <w:color w:val="auto"/>
                <w:w w:val="99"/>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3943985</wp:posOffset>
            </wp:positionH>
            <wp:positionV relativeFrom="paragraph">
              <wp:posOffset>-187960</wp:posOffset>
            </wp:positionV>
            <wp:extent cx="76835" cy="1885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4731385</wp:posOffset>
            </wp:positionH>
            <wp:positionV relativeFrom="paragraph">
              <wp:posOffset>-187960</wp:posOffset>
            </wp:positionV>
            <wp:extent cx="68580" cy="1885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5502275</wp:posOffset>
            </wp:positionH>
            <wp:positionV relativeFrom="paragraph">
              <wp:posOffset>-187960</wp:posOffset>
            </wp:positionV>
            <wp:extent cx="68580" cy="1885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6272530</wp:posOffset>
            </wp:positionH>
            <wp:positionV relativeFrom="paragraph">
              <wp:posOffset>-187960</wp:posOffset>
            </wp:positionV>
            <wp:extent cx="68580" cy="1885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69" w:lineRule="exact"/>
        <w:rPr>
          <w:sz w:val="20"/>
          <w:szCs w:val="20"/>
          <w:color w:val="auto"/>
        </w:rPr>
      </w:pPr>
    </w:p>
    <w:p>
      <w:pPr>
        <w:ind w:left="520" w:hanging="377"/>
        <w:spacing w:after="0" w:line="230" w:lineRule="auto"/>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Availability under the ABL Facility is derived by reducing the amount that may be advanced against eligible receivables plus eligible borrowing base cash by certain reserves imposed by the ABL Agent and our outstanding letters of credit.</w:t>
      </w:r>
    </w:p>
    <w:p>
      <w:pPr>
        <w:ind w:left="520" w:hanging="377"/>
        <w:spacing w:after="0" w:line="221" w:lineRule="auto"/>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Letters of credit outstanding are generally required as collateral to support self-insurance programs and do not represent additional liabilities as the underlying self-insurance accruals are already included in our consolidated balance sheets.</w:t>
      </w:r>
    </w:p>
    <w:p>
      <w:pPr>
        <w:ind w:left="520" w:hanging="377"/>
        <w:spacing w:after="0" w:line="237" w:lineRule="auto"/>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Surety bonds are generally required for workers’ compensation to support self-insurance programs, which include certain bonds that do not have an expiration date but are redeemable on demand, and do not represent additional liabilities as the underlying self-insurance accruals are already included in our consolidated balance sheets.</w:t>
      </w:r>
    </w:p>
    <w:p>
      <w:pPr>
        <w:spacing w:after="0" w:line="14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have no off-balance sheet arrangements except for other contractual obligations for letters of credit and surety bonds, which are reflected in the above tables, and normal course service agreements and capital purchases.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0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Preparation of our consolidated financial statements requires accounting policies that involve significant estimates and judgments regarding the amounts included in the consolidated financial statements and disclosed in the accompanying notes to the consolidated financial statements. We continually review the appropriateness of our accounting policies and the accuracy of our estimates including discussion with the Audit &amp; Ethics Committee of our Board of Directors that may make recommendations to management regarding these policies. Even with a thorough process, estimates must be adjusted based on changing circumstances and new information. Actual results could differ from those estimates. Management has identified the policies described below as requiring significant judgment and having a potential material impact to our consolidated financial statements.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Self-Insurance for Claims</w:t>
      </w:r>
    </w:p>
    <w:p>
      <w:pPr>
        <w:spacing w:after="0" w:line="18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are self-insured up to certain limits for workers’ compensation and third-party liability claims. We measure the liabilities associated with workers’ compensation and third-party liability claims primarily through actuarial methods performed by an independent third party. Actuarial methods include estimates for the undiscounted liability for claims reported, for claims incurred but not reported and for certain future administrative costs. These estimates are based on historical loss development factors and judgments about the present and expected levels of costs per claim and the time required to settle claims. The effect of future inflation for costs is considered in the actuarial analysis. Actual claims may vary from these estimates due to a number of factors, including but not limited to, accident frequency and severity, claims management, changes in healthcare costs, legal and judicial developments, and overall economic conditions. We discount the actuarial calculations of claims liabilities for each calendar year to present value based on the average U.S. Treasury rate, during the calendar year of occurrence, for maturities that match the initial expected payout of the liabilities. As of December 31, 2022 and 2021, we had $325.2 million and $354.5 million accrued for outstanding claims, respectively. Additional details on self-insurance accruals for claims are also available in Note 2 to the consolidated financial statements included in Part II, Item 8 of this Annual Report on Form 10-K.</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Non-Union Pension Plans</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sponsors defined benefit pension plans for certain employees not covered by collective bargaining agreements. The qualified plans cover approximately 4,600 participants including those currently receiving benefits and those who have left the Company with deferred benefits. On January 1, 2004, the existing qualified benefit plans were closed to new participants. Effective July 1, 2008, we froze the defined benefit pension plans for all participating employees not covered by collective bargaining agreements. Given the frozen status of the plans, the key estimates in determining pension cost are discount rate and return on plan assets, each of which are discussed below. Additional information on these pension plans is included in Note 4 to the consolidated financial statements included in Part II, Item 8 of this Annual Report on Form 10-K.</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Discount Rate</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discount rate refers to the interest rate used to discount the estimated future benefit payments to their present value, also referred to as the benefit obligation. The discount rate allows us to estimate what it would cost to settle the pension obligations as of the measurement date, December 31, and impacts the following year’s annual pension expense. We determine the discount rate by selecting a portfolio of high-quality non-callable bonds with interest payments and maturities generally consistent with our expected benefit payments.</w:t>
      </w:r>
    </w:p>
    <w:p>
      <w:pPr>
        <w:spacing w:after="0" w:line="14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Changes in the discount rate can impact our overall net pension position on the balance sheet, however, hedge assets in our asset portfolio work to partially mitigate this impact with changes in asset returns. A 100-basis-point decrease in our discount rate would increase our net pension position on the consolidated balance sheet by approximately $45.4 million. That same change would decrease our net pension expense by approximately $1.2 million, due to the offsetting impact to the return on assets. The discount rate can fluctuate considerably over periods depending on overall economic conditions that impact long-term corporate bond yields. At December 31, 2022 and 2021, we used a discount rate to determine benefit obligations of 5.70% and 3.08%,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Return on Plan Assets</w:t>
      </w:r>
    </w:p>
    <w:p>
      <w:pPr>
        <w:spacing w:after="0" w:line="198"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assumption for expected return on plan assets represents a long-term assumption of our portfolio performance that can impact our annual pension expense. With $487.9 million of plan assets at December 31, 2022 for the Company’s funded pension plans, a 100-basis-point decrease in the assumption for expected rate of return on assets would increase the net annual pension expense by approximately $4.6 million and would have no effect on the net pension position reflected on the consolidated balance sheet at December 31, 2022.</w:t>
      </w:r>
    </w:p>
    <w:p>
      <w:pPr>
        <w:spacing w:after="0" w:line="14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determining the expected rate of return on assets, we consider our historical experience in the plans’ investment portfolio, historical market data and long-term historical relationships as well as a review of other objective indices including current market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2" w:name="page33"/>
    <w:bookmarkEnd w:id="32"/>
    <w:p>
      <w:pPr>
        <w:jc w:val="both"/>
        <w:spacing w:after="0" w:line="296" w:lineRule="auto"/>
        <w:rPr>
          <w:sz w:val="20"/>
          <w:szCs w:val="20"/>
          <w:color w:val="auto"/>
        </w:rPr>
      </w:pPr>
      <w:r>
        <w:rPr>
          <w:rFonts w:ascii="Arial" w:cs="Arial" w:eastAsia="Arial" w:hAnsi="Arial"/>
          <w:sz w:val="16"/>
          <w:szCs w:val="16"/>
          <w:color w:val="auto"/>
        </w:rPr>
        <w:t>factors such as inflation and interest rates. Due to the historically underfunded nature of these plans we previously managed our investment portfolio to hedge risks, but primarily focused on risk-seeking assets that would provide an opportunity to close the net funded deficit thus, the Company selected an expected rate of return on assets of 7.0% effective for the 2021 valuations. Based on the improved funded status in comparison to historic levels, which impacts the risk profile of the asset portfolio and various market factors, we selected an expected rate of return on assets of 5.0% effective for the 2022 valuation. We have reviewed our expected long-term rate of return based upon several factors, including those detailed above.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 Assets Measurement</w:t>
      </w:r>
    </w:p>
    <w:p>
      <w:pPr>
        <w:spacing w:after="0" w:line="18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At December 31, 2022, our plan assets included $245.2 million of investments that are measured at net asset value (“NAV”) per share (or its equivalent) using the practical expedient in accordance with fair value measurement and $27.3 million of Level 3 investments. Level 3 market values are based on inputs that are supported by little or no market activity and are significant to the fair value of the investment. These investments are subject to estimation to determine fair value which is used to determine components of our annual pension expense and the net pension position reflected on the consolidated balance sheet.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auto"/>
        </w:rPr>
        <w:t>Item 7A. Quantitative and Qualitative Disclosures About Market Risk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We have exposure to a variety of market risks, including the effects of interest rates, fuel prices, and foreign exchange rates.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Rates</w:t>
      </w:r>
    </w:p>
    <w:p>
      <w:pPr>
        <w:spacing w:after="0" w:line="18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To provide adequate funding through seasonal business cycles and minimize overall borrowing costs, we utilize both fixed rate and variable rate financial instruments with varying maturities. At December 31, 2022, we had approximately 14% of our outstanding debt at fixed rates.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information regarding the weighted average effective interest rates on our fixed-rate debt as of December 31, 2022.</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86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436"/>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416"/>
              <w:spacing w:after="0"/>
              <w:rPr>
                <w:sz w:val="20"/>
                <w:szCs w:val="20"/>
                <w:color w:val="auto"/>
              </w:rPr>
            </w:pPr>
            <w:r>
              <w:rPr>
                <w:rFonts w:ascii="Arial" w:cs="Arial" w:eastAsia="Arial" w:hAnsi="Arial"/>
                <w:sz w:val="14"/>
                <w:szCs w:val="14"/>
                <w:b w:val="1"/>
                <w:bCs w:val="1"/>
                <w:color w:val="auto"/>
              </w:rPr>
              <w:t>2024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416"/>
              <w:spacing w:after="0"/>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416"/>
              <w:spacing w:after="0"/>
              <w:rPr>
                <w:sz w:val="20"/>
                <w:szCs w:val="20"/>
                <w:color w:val="auto"/>
              </w:rPr>
            </w:pPr>
            <w:r>
              <w:rPr>
                <w:rFonts w:ascii="Arial" w:cs="Arial" w:eastAsia="Arial" w:hAnsi="Arial"/>
                <w:sz w:val="14"/>
                <w:szCs w:val="14"/>
                <w:b w:val="1"/>
                <w:bCs w:val="1"/>
                <w:color w:val="auto"/>
              </w:rPr>
              <w:t>2026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 xml:space="preserve">2027 </w:t>
            </w:r>
            <w:r>
              <w:rPr>
                <w:rFonts w:ascii="Arial" w:cs="Arial" w:eastAsia="Arial" w:hAnsi="Arial"/>
                <w:sz w:val="19"/>
                <w:szCs w:val="19"/>
                <w:b w:val="1"/>
                <w:bCs w:val="1"/>
                <w:color w:val="auto"/>
                <w:vertAlign w:val="superscript"/>
              </w:rPr>
              <w:t>(a)</w:t>
            </w:r>
          </w:p>
        </w:tc>
        <w:tc>
          <w:tcPr>
            <w:tcW w:w="16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9"/>
              </w:rPr>
              <w:t>Thereafter</w:t>
            </w:r>
          </w:p>
        </w:tc>
        <w:tc>
          <w:tcPr>
            <w:tcW w:w="220" w:type="dxa"/>
            <w:vAlign w:val="bottom"/>
          </w:tcPr>
          <w:p>
            <w:pPr>
              <w:spacing w:after="0"/>
              <w:rPr>
                <w:sz w:val="18"/>
                <w:szCs w:val="18"/>
                <w:color w:val="auto"/>
              </w:rPr>
            </w:pPr>
          </w:p>
        </w:tc>
        <w:tc>
          <w:tcPr>
            <w:tcW w:w="920" w:type="dxa"/>
            <w:vAlign w:val="bottom"/>
          </w:tcPr>
          <w:p>
            <w:pPr>
              <w:jc w:val="right"/>
              <w:ind w:right="379"/>
              <w:spacing w:after="0"/>
              <w:rPr>
                <w:sz w:val="20"/>
                <w:szCs w:val="20"/>
                <w:color w:val="auto"/>
              </w:rPr>
            </w:pPr>
            <w:r>
              <w:rPr>
                <w:rFonts w:ascii="Arial" w:cs="Arial" w:eastAsia="Arial" w:hAnsi="Arial"/>
                <w:sz w:val="14"/>
                <w:szCs w:val="14"/>
                <w:b w:val="1"/>
                <w:bCs w:val="1"/>
                <w:color w:val="auto"/>
              </w:rPr>
              <w:t>Total</w:t>
            </w:r>
          </w:p>
        </w:tc>
      </w:tr>
      <w:tr>
        <w:trPr>
          <w:trHeight w:val="236"/>
        </w:trPr>
        <w:tc>
          <w:tcPr>
            <w:tcW w:w="18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Fixed-rate debt</w:t>
            </w:r>
          </w:p>
        </w:tc>
        <w:tc>
          <w:tcPr>
            <w:tcW w:w="16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ind w:left="520"/>
              <w:spacing w:after="0"/>
              <w:rPr>
                <w:sz w:val="20"/>
                <w:szCs w:val="20"/>
                <w:color w:val="auto"/>
              </w:rPr>
            </w:pPr>
            <w:r>
              <w:rPr>
                <w:rFonts w:ascii="Arial" w:cs="Arial" w:eastAsia="Arial" w:hAnsi="Arial"/>
                <w:sz w:val="18"/>
                <w:szCs w:val="18"/>
                <w:color w:val="auto"/>
              </w:rPr>
              <w:t>19.0</w:t>
            </w:r>
          </w:p>
        </w:tc>
        <w:tc>
          <w:tcPr>
            <w:tcW w:w="16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0.6</w:t>
            </w:r>
          </w:p>
        </w:tc>
        <w:tc>
          <w:tcPr>
            <w:tcW w:w="14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199.0</w:t>
            </w:r>
          </w:p>
        </w:tc>
        <w:tc>
          <w:tcPr>
            <w:tcW w:w="16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227.1</w:t>
            </w:r>
          </w:p>
        </w:tc>
      </w:tr>
      <w:tr>
        <w:trPr>
          <w:trHeight w:val="230"/>
        </w:trPr>
        <w:tc>
          <w:tcPr>
            <w:tcW w:w="1860" w:type="dxa"/>
            <w:vAlign w:val="bottom"/>
          </w:tcPr>
          <w:p>
            <w:pPr>
              <w:ind w:left="20"/>
              <w:spacing w:after="0"/>
              <w:rPr>
                <w:sz w:val="20"/>
                <w:szCs w:val="20"/>
                <w:color w:val="auto"/>
              </w:rPr>
            </w:pPr>
            <w:r>
              <w:rPr>
                <w:rFonts w:ascii="Arial" w:cs="Arial" w:eastAsia="Arial" w:hAnsi="Arial"/>
                <w:sz w:val="18"/>
                <w:szCs w:val="18"/>
                <w:color w:val="auto"/>
              </w:rPr>
              <w:t>Interest rate</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ind w:left="520"/>
              <w:spacing w:after="0"/>
              <w:rPr>
                <w:sz w:val="20"/>
                <w:szCs w:val="20"/>
                <w:color w:val="auto"/>
              </w:rPr>
            </w:pPr>
            <w:r>
              <w:rPr>
                <w:rFonts w:ascii="Arial" w:cs="Arial" w:eastAsia="Arial" w:hAnsi="Arial"/>
                <w:sz w:val="18"/>
                <w:szCs w:val="18"/>
                <w:color w:val="auto"/>
              </w:rPr>
              <w:t>17.1 %</w:t>
            </w:r>
          </w:p>
        </w:tc>
        <w:tc>
          <w:tcPr>
            <w:tcW w:w="26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17.9 %</w:t>
            </w:r>
          </w:p>
        </w:tc>
        <w:tc>
          <w:tcPr>
            <w:tcW w:w="24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17.9 %</w:t>
            </w:r>
          </w:p>
        </w:tc>
        <w:tc>
          <w:tcPr>
            <w:tcW w:w="26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17.8 %</w:t>
            </w:r>
          </w:p>
        </w:tc>
        <w:tc>
          <w:tcPr>
            <w:tcW w:w="2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18.1 %</w:t>
            </w:r>
          </w:p>
        </w:tc>
        <w:tc>
          <w:tcPr>
            <w:tcW w:w="16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18.1 %</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r>
    </w:tbl>
    <w:p>
      <w:pPr>
        <w:ind w:left="380" w:hanging="372"/>
        <w:spacing w:after="0"/>
        <w:tabs>
          <w:tab w:leader="none" w:pos="3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Fixed-rate debt payments in 2027 and beyond and are comprised of interest payments on our lease financing obligations.</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significant portion of the outstanding variable rate debt is currently determined by various USD LIBOR rates subject to a floor of 1.0% plus fixed margins ranging from 3.5% to 7.5%. Based on a 1-month USD LIBOR, a 100 basis point change in the interest rates that applied during the year to our variable rate long-term debt would not have a material impact to either our interest expense or our net income (loss) before taxes. Our evaluation of this exposure included consideration of relevant circumstances, inclusive of the 1.0% floor.</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March 2021, the UK Financial Conduct Authority (the “FCA”), which regulates the London Interbank Offered Rate, or LIBOR, issued an announcement on the future cessation or loss of representativeness of LIBOR benchmark settings currently published by ICE Benchmark Administration. That announcement confirmed that LIBOR will either cease to be provided by any administrator or will no longer be representative after December 31, 2021 for all non-USD LIBOR reference rates, and for 1W and 2M USD LIBOR and after June 30, 2023 for other USD LIBOR reference rates. The Company has historically utilized the USD LIBOR rates that are expected to be available and representative through June 30, 2023. When the USD LIBOR rate is discontinued the Company will utilize a suitable replacement rate as outlined in our debt agreements.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Fuel Prices</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currently has fuel surcharge programs in place. These programs are well established within the industry and customer acceptance of fuel surcharges remains high. Since the amount of fuel surcharge is generally based on average, national diesel fuel prices and is reset weekly, our exposure to fuel price volatility is reduced. In general, under our present fuel surcharge programs, we believe that while rising fuel prices are beneficial to us and falling fuel prices are detrimental to us in the short term, the effects are mitigated over time. We cannot predict the extent to which volatile fluctuations in fuel prices will continue in the future or the extent to which fuel surcharges could be collected to offset fuel-price increases.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Rates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Revenue, operating expenses, assets and liabilities of our Canadian operations are often denominated in local currency, thereby creating limited exposure to fluctuations in exchange rates. The risks related to foreign currency exchange rates have not been and are not expected to be significant to our consolidated financial position or results of operations.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3"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auto"/>
        </w:rPr>
        <w:t>Item 8. Financial Statements and Supplementary Data</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Yellow Corporation and Subsidiaries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(Amounts in millions except share and per share data)</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w w:val="95"/>
              </w:rPr>
              <w:t>December 31, 2022</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w w:val="95"/>
              </w:rPr>
              <w:t>December 31, 2021</w:t>
            </w:r>
          </w:p>
        </w:tc>
      </w:tr>
      <w:tr>
        <w:trPr>
          <w:trHeight w:val="169"/>
        </w:trPr>
        <w:tc>
          <w:tcPr>
            <w:tcW w:w="7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243"/>
        </w:trPr>
        <w:tc>
          <w:tcPr>
            <w:tcW w:w="75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20" w:type="dxa"/>
            <w:vAlign w:val="bottom"/>
            <w:shd w:val="clear" w:color="auto" w:fill="CFF0FC"/>
          </w:tcPr>
          <w:p>
            <w:pPr>
              <w:spacing w:after="0"/>
              <w:rPr>
                <w:sz w:val="21"/>
                <w:szCs w:val="21"/>
                <w:color w:val="auto"/>
              </w:rPr>
            </w:pPr>
          </w:p>
        </w:tc>
      </w:tr>
      <w:tr>
        <w:trPr>
          <w:trHeight w:val="236"/>
        </w:trPr>
        <w:tc>
          <w:tcPr>
            <w:tcW w:w="75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49"/>
        </w:trPr>
        <w:tc>
          <w:tcPr>
            <w:tcW w:w="75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235.1</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310.7</w:t>
            </w:r>
          </w:p>
        </w:tc>
      </w:tr>
      <w:tr>
        <w:trPr>
          <w:trHeight w:val="236"/>
        </w:trPr>
        <w:tc>
          <w:tcPr>
            <w:tcW w:w="7500" w:type="dxa"/>
            <w:vAlign w:val="bottom"/>
          </w:tcPr>
          <w:p>
            <w:pPr>
              <w:ind w:left="200"/>
              <w:spacing w:after="0"/>
              <w:rPr>
                <w:sz w:val="20"/>
                <w:szCs w:val="20"/>
                <w:color w:val="auto"/>
              </w:rPr>
            </w:pPr>
            <w:r>
              <w:rPr>
                <w:rFonts w:ascii="Arial" w:cs="Arial" w:eastAsia="Arial" w:hAnsi="Arial"/>
                <w:sz w:val="18"/>
                <w:szCs w:val="18"/>
                <w:color w:val="auto"/>
              </w:rPr>
              <w:t>Restricted amounts held in escrow</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4.1</w:t>
            </w:r>
          </w:p>
        </w:tc>
      </w:tr>
      <w:tr>
        <w:trPr>
          <w:trHeight w:val="249"/>
        </w:trPr>
        <w:tc>
          <w:tcPr>
            <w:tcW w:w="75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receivable, less allowances of $23.7 and $13.2, respectively</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599.7</w:t>
            </w: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663.7</w:t>
            </w:r>
          </w:p>
        </w:tc>
      </w:tr>
      <w:tr>
        <w:trPr>
          <w:trHeight w:val="243"/>
        </w:trPr>
        <w:tc>
          <w:tcPr>
            <w:tcW w:w="7500" w:type="dxa"/>
            <w:vAlign w:val="bottom"/>
          </w:tcPr>
          <w:p>
            <w:pPr>
              <w:ind w:left="200"/>
              <w:spacing w:after="0"/>
              <w:rPr>
                <w:sz w:val="20"/>
                <w:szCs w:val="20"/>
                <w:color w:val="auto"/>
              </w:rPr>
            </w:pPr>
            <w:r>
              <w:rPr>
                <w:rFonts w:ascii="Arial" w:cs="Arial" w:eastAsia="Arial" w:hAnsi="Arial"/>
                <w:sz w:val="18"/>
                <w:szCs w:val="18"/>
                <w:color w:val="auto"/>
              </w:rPr>
              <w:t>Prepaid expenses and other</w:t>
            </w:r>
          </w:p>
        </w:tc>
        <w:tc>
          <w:tcPr>
            <w:tcW w:w="2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75.4</w:t>
            </w:r>
          </w:p>
        </w:tc>
        <w:tc>
          <w:tcPr>
            <w:tcW w:w="1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65.0</w:t>
            </w:r>
          </w:p>
        </w:tc>
      </w:tr>
      <w:tr>
        <w:trPr>
          <w:trHeight w:val="236"/>
        </w:trPr>
        <w:tc>
          <w:tcPr>
            <w:tcW w:w="75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current assets</w:t>
            </w:r>
          </w:p>
        </w:tc>
        <w:tc>
          <w:tcPr>
            <w:tcW w:w="2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5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914.1</w:t>
            </w:r>
          </w:p>
        </w:tc>
        <w:tc>
          <w:tcPr>
            <w:tcW w:w="1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5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1,043.5</w:t>
            </w:r>
          </w:p>
        </w:tc>
      </w:tr>
      <w:tr>
        <w:trPr>
          <w:trHeight w:val="230"/>
        </w:trPr>
        <w:tc>
          <w:tcPr>
            <w:tcW w:w="750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49"/>
        </w:trPr>
        <w:tc>
          <w:tcPr>
            <w:tcW w:w="75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Cost</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3,109.0</w:t>
            </w: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3,164.6</w:t>
            </w:r>
          </w:p>
        </w:tc>
      </w:tr>
      <w:tr>
        <w:trPr>
          <w:trHeight w:val="243"/>
        </w:trPr>
        <w:tc>
          <w:tcPr>
            <w:tcW w:w="7500" w:type="dxa"/>
            <w:vAlign w:val="bottom"/>
          </w:tcPr>
          <w:p>
            <w:pPr>
              <w:ind w:left="200"/>
              <w:spacing w:after="0"/>
              <w:rPr>
                <w:sz w:val="20"/>
                <w:szCs w:val="20"/>
                <w:color w:val="auto"/>
              </w:rPr>
            </w:pPr>
            <w:r>
              <w:rPr>
                <w:rFonts w:ascii="Arial" w:cs="Arial" w:eastAsia="Arial" w:hAnsi="Arial"/>
                <w:sz w:val="18"/>
                <w:szCs w:val="18"/>
                <w:color w:val="auto"/>
              </w:rPr>
              <w:t>Less – accumulated depreciation</w:t>
            </w:r>
          </w:p>
        </w:tc>
        <w:tc>
          <w:tcPr>
            <w:tcW w:w="2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(1,940.0 )</w:t>
            </w:r>
          </w:p>
        </w:tc>
        <w:tc>
          <w:tcPr>
            <w:tcW w:w="1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(2,032.3 )</w:t>
            </w:r>
          </w:p>
        </w:tc>
      </w:tr>
      <w:tr>
        <w:trPr>
          <w:trHeight w:val="236"/>
        </w:trPr>
        <w:tc>
          <w:tcPr>
            <w:tcW w:w="75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Net property and equipment</w:t>
            </w:r>
          </w:p>
        </w:tc>
        <w:tc>
          <w:tcPr>
            <w:tcW w:w="2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5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1,169.0</w:t>
            </w:r>
          </w:p>
        </w:tc>
        <w:tc>
          <w:tcPr>
            <w:tcW w:w="1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5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1,132.3</w:t>
            </w:r>
          </w:p>
        </w:tc>
      </w:tr>
      <w:tr>
        <w:trPr>
          <w:trHeight w:val="230"/>
        </w:trPr>
        <w:tc>
          <w:tcPr>
            <w:tcW w:w="7500" w:type="dxa"/>
            <w:vAlign w:val="bottom"/>
          </w:tcPr>
          <w:p>
            <w:pPr>
              <w:ind w:left="20"/>
              <w:spacing w:after="0"/>
              <w:rPr>
                <w:sz w:val="20"/>
                <w:szCs w:val="20"/>
                <w:color w:val="auto"/>
              </w:rPr>
            </w:pPr>
            <w:r>
              <w:rPr>
                <w:rFonts w:ascii="Arial" w:cs="Arial" w:eastAsia="Arial" w:hAnsi="Arial"/>
                <w:sz w:val="18"/>
                <w:szCs w:val="18"/>
                <w:color w:val="auto"/>
              </w:rPr>
              <w:t>Deferred income taxes, net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1.4</w:t>
            </w:r>
          </w:p>
        </w:tc>
      </w:tr>
      <w:tr>
        <w:trPr>
          <w:trHeight w:val="249"/>
        </w:trPr>
        <w:tc>
          <w:tcPr>
            <w:tcW w:w="7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Pension</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34.5</w:t>
            </w: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40.5</w:t>
            </w:r>
          </w:p>
        </w:tc>
      </w:tr>
      <w:tr>
        <w:trPr>
          <w:trHeight w:val="236"/>
        </w:trPr>
        <w:tc>
          <w:tcPr>
            <w:tcW w:w="750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139.7</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184.8</w:t>
            </w:r>
          </w:p>
        </w:tc>
      </w:tr>
      <w:tr>
        <w:trPr>
          <w:trHeight w:val="249"/>
        </w:trPr>
        <w:tc>
          <w:tcPr>
            <w:tcW w:w="7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21.7</w:t>
            </w:r>
          </w:p>
        </w:tc>
        <w:tc>
          <w:tcPr>
            <w:tcW w:w="1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23.1</w:t>
            </w:r>
          </w:p>
        </w:tc>
      </w:tr>
      <w:tr>
        <w:trPr>
          <w:trHeight w:val="236"/>
        </w:trPr>
        <w:tc>
          <w:tcPr>
            <w:tcW w:w="7500" w:type="dxa"/>
            <w:vAlign w:val="bottom"/>
          </w:tcPr>
          <w:p>
            <w:pPr>
              <w:ind w:left="380"/>
              <w:spacing w:after="0"/>
              <w:rPr>
                <w:sz w:val="20"/>
                <w:szCs w:val="20"/>
                <w:color w:val="auto"/>
              </w:rPr>
            </w:pPr>
            <w:r>
              <w:rPr>
                <w:rFonts w:ascii="Arial" w:cs="Arial" w:eastAsia="Arial" w:hAnsi="Arial"/>
                <w:sz w:val="18"/>
                <w:szCs w:val="18"/>
                <w:b w:val="1"/>
                <w:bCs w:val="1"/>
                <w:color w:val="auto"/>
              </w:rPr>
              <w:t>Total Assets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2,279.3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2,425.6</w:t>
            </w:r>
          </w:p>
        </w:tc>
      </w:tr>
      <w:tr>
        <w:trPr>
          <w:trHeight w:val="20"/>
        </w:trPr>
        <w:tc>
          <w:tcPr>
            <w:tcW w:w="7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75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 and Shareholders’ Deficit</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r>
      <w:tr>
        <w:trPr>
          <w:trHeight w:val="236"/>
        </w:trPr>
        <w:tc>
          <w:tcPr>
            <w:tcW w:w="75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49"/>
        </w:trPr>
        <w:tc>
          <w:tcPr>
            <w:tcW w:w="75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payable</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188.6</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178.4</w:t>
            </w:r>
          </w:p>
        </w:tc>
      </w:tr>
      <w:tr>
        <w:trPr>
          <w:trHeight w:val="236"/>
        </w:trPr>
        <w:tc>
          <w:tcPr>
            <w:tcW w:w="7500" w:type="dxa"/>
            <w:vAlign w:val="bottom"/>
          </w:tcPr>
          <w:p>
            <w:pPr>
              <w:ind w:left="200"/>
              <w:spacing w:after="0"/>
              <w:rPr>
                <w:sz w:val="20"/>
                <w:szCs w:val="20"/>
                <w:color w:val="auto"/>
              </w:rPr>
            </w:pPr>
            <w:r>
              <w:rPr>
                <w:rFonts w:ascii="Arial" w:cs="Arial" w:eastAsia="Arial" w:hAnsi="Arial"/>
                <w:sz w:val="18"/>
                <w:szCs w:val="18"/>
                <w:color w:val="auto"/>
              </w:rPr>
              <w:t>Wages, vacations and employee benefits</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221.4</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252.5</w:t>
            </w:r>
          </w:p>
        </w:tc>
      </w:tr>
      <w:tr>
        <w:trPr>
          <w:trHeight w:val="249"/>
        </w:trPr>
        <w:tc>
          <w:tcPr>
            <w:tcW w:w="75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Current operating lease liabilities</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53.1</w:t>
            </w: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76.5</w:t>
            </w:r>
          </w:p>
        </w:tc>
      </w:tr>
      <w:tr>
        <w:trPr>
          <w:trHeight w:val="236"/>
        </w:trPr>
        <w:tc>
          <w:tcPr>
            <w:tcW w:w="7500" w:type="dxa"/>
            <w:vAlign w:val="bottom"/>
          </w:tcPr>
          <w:p>
            <w:pPr>
              <w:ind w:left="200"/>
              <w:spacing w:after="0"/>
              <w:rPr>
                <w:sz w:val="20"/>
                <w:szCs w:val="20"/>
                <w:color w:val="auto"/>
              </w:rPr>
            </w:pPr>
            <w:r>
              <w:rPr>
                <w:rFonts w:ascii="Arial" w:cs="Arial" w:eastAsia="Arial" w:hAnsi="Arial"/>
                <w:sz w:val="18"/>
                <w:szCs w:val="18"/>
                <w:color w:val="auto"/>
              </w:rPr>
              <w:t>Claims and insurance accruals</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116.6</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125.9</w:t>
            </w:r>
          </w:p>
        </w:tc>
      </w:tr>
      <w:tr>
        <w:trPr>
          <w:trHeight w:val="249"/>
        </w:trPr>
        <w:tc>
          <w:tcPr>
            <w:tcW w:w="75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 accrued taxes</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27.9</w:t>
            </w: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72.8</w:t>
            </w:r>
          </w:p>
        </w:tc>
      </w:tr>
      <w:tr>
        <w:trPr>
          <w:trHeight w:val="236"/>
        </w:trPr>
        <w:tc>
          <w:tcPr>
            <w:tcW w:w="7500" w:type="dxa"/>
            <w:vAlign w:val="bottom"/>
          </w:tcPr>
          <w:p>
            <w:pPr>
              <w:ind w:left="200"/>
              <w:spacing w:after="0"/>
              <w:rPr>
                <w:sz w:val="20"/>
                <w:szCs w:val="20"/>
                <w:color w:val="auto"/>
              </w:rPr>
            </w:pPr>
            <w:r>
              <w:rPr>
                <w:rFonts w:ascii="Arial" w:cs="Arial" w:eastAsia="Arial" w:hAnsi="Arial"/>
                <w:sz w:val="18"/>
                <w:szCs w:val="18"/>
                <w:color w:val="auto"/>
              </w:rPr>
              <w:t>Other current and accrued liabilities</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37.6</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45.7</w:t>
            </w:r>
          </w:p>
        </w:tc>
      </w:tr>
      <w:tr>
        <w:trPr>
          <w:trHeight w:val="249"/>
        </w:trPr>
        <w:tc>
          <w:tcPr>
            <w:tcW w:w="75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Current maturities of long-term debt</w:t>
            </w:r>
          </w:p>
        </w:tc>
        <w:tc>
          <w:tcPr>
            <w:tcW w:w="2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71.8</w:t>
            </w:r>
          </w:p>
        </w:tc>
        <w:tc>
          <w:tcPr>
            <w:tcW w:w="1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72.3</w:t>
            </w:r>
          </w:p>
        </w:tc>
      </w:tr>
      <w:tr>
        <w:trPr>
          <w:trHeight w:val="236"/>
        </w:trPr>
        <w:tc>
          <w:tcPr>
            <w:tcW w:w="750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717.0</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824.1</w:t>
            </w:r>
          </w:p>
        </w:tc>
      </w:tr>
      <w:tr>
        <w:trPr>
          <w:trHeight w:val="236"/>
        </w:trPr>
        <w:tc>
          <w:tcPr>
            <w:tcW w:w="7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Liabilities:</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5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520" w:type="dxa"/>
            <w:vAlign w:val="bottom"/>
            <w:shd w:val="clear" w:color="auto" w:fill="CFF0FC"/>
          </w:tcPr>
          <w:p>
            <w:pPr>
              <w:spacing w:after="0"/>
              <w:rPr>
                <w:sz w:val="20"/>
                <w:szCs w:val="20"/>
                <w:color w:val="auto"/>
              </w:rPr>
            </w:pPr>
          </w:p>
        </w:tc>
      </w:tr>
      <w:tr>
        <w:trPr>
          <w:trHeight w:val="236"/>
        </w:trPr>
        <w:tc>
          <w:tcPr>
            <w:tcW w:w="7500" w:type="dxa"/>
            <w:vAlign w:val="bottom"/>
          </w:tcPr>
          <w:p>
            <w:pPr>
              <w:ind w:left="200"/>
              <w:spacing w:after="0"/>
              <w:rPr>
                <w:sz w:val="20"/>
                <w:szCs w:val="20"/>
                <w:color w:val="auto"/>
              </w:rPr>
            </w:pPr>
            <w:r>
              <w:rPr>
                <w:rFonts w:ascii="Arial" w:cs="Arial" w:eastAsia="Arial" w:hAnsi="Arial"/>
                <w:sz w:val="18"/>
                <w:szCs w:val="18"/>
                <w:color w:val="auto"/>
              </w:rPr>
              <w:t>Long-term debt, less current portion</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1,466.2</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1,482.2</w:t>
            </w:r>
          </w:p>
        </w:tc>
      </w:tr>
      <w:tr>
        <w:trPr>
          <w:trHeight w:val="249"/>
        </w:trPr>
        <w:tc>
          <w:tcPr>
            <w:tcW w:w="75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Pension and postretirement</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134.0</w:t>
            </w: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88.2</w:t>
            </w:r>
          </w:p>
        </w:tc>
      </w:tr>
      <w:tr>
        <w:trPr>
          <w:trHeight w:val="236"/>
        </w:trPr>
        <w:tc>
          <w:tcPr>
            <w:tcW w:w="7500" w:type="dxa"/>
            <w:vAlign w:val="bottom"/>
          </w:tcPr>
          <w:p>
            <w:pPr>
              <w:ind w:left="200"/>
              <w:spacing w:after="0"/>
              <w:rPr>
                <w:sz w:val="20"/>
                <w:szCs w:val="20"/>
                <w:color w:val="auto"/>
              </w:rPr>
            </w:pPr>
            <w:r>
              <w:rPr>
                <w:rFonts w:ascii="Arial" w:cs="Arial" w:eastAsia="Arial" w:hAnsi="Arial"/>
                <w:sz w:val="18"/>
                <w:szCs w:val="18"/>
                <w:color w:val="auto"/>
              </w:rPr>
              <w:t>Operating lease liabilities</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94.6</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118.9</w:t>
            </w:r>
          </w:p>
        </w:tc>
      </w:tr>
      <w:tr>
        <w:trPr>
          <w:trHeight w:val="249"/>
        </w:trPr>
        <w:tc>
          <w:tcPr>
            <w:tcW w:w="75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Claims and other liabilities</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249.0</w:t>
            </w: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275.7</w:t>
            </w:r>
          </w:p>
        </w:tc>
      </w:tr>
      <w:tr>
        <w:trPr>
          <w:trHeight w:val="236"/>
        </w:trPr>
        <w:tc>
          <w:tcPr>
            <w:tcW w:w="7500" w:type="dxa"/>
            <w:vAlign w:val="bottom"/>
          </w:tcPr>
          <w:p>
            <w:pPr>
              <w:ind w:left="200"/>
              <w:spacing w:after="0"/>
              <w:rPr>
                <w:sz w:val="20"/>
                <w:szCs w:val="20"/>
                <w:color w:val="auto"/>
              </w:rPr>
            </w:pPr>
            <w:r>
              <w:rPr>
                <w:rFonts w:ascii="Arial" w:cs="Arial" w:eastAsia="Arial" w:hAnsi="Arial"/>
                <w:sz w:val="18"/>
                <w:szCs w:val="18"/>
                <w:color w:val="auto"/>
              </w:rPr>
              <w:t>Commitments and contingencies</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49"/>
        </w:trPr>
        <w:tc>
          <w:tcPr>
            <w:tcW w:w="7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Shareholders’ Deficit:</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20" w:type="dxa"/>
            <w:vAlign w:val="bottom"/>
            <w:shd w:val="clear" w:color="auto" w:fill="CFF0FC"/>
          </w:tcPr>
          <w:p>
            <w:pPr>
              <w:spacing w:after="0"/>
              <w:rPr>
                <w:sz w:val="21"/>
                <w:szCs w:val="21"/>
                <w:color w:val="auto"/>
              </w:rPr>
            </w:pPr>
          </w:p>
        </w:tc>
      </w:tr>
      <w:tr>
        <w:trPr>
          <w:trHeight w:val="236"/>
        </w:trPr>
        <w:tc>
          <w:tcPr>
            <w:tcW w:w="7500" w:type="dxa"/>
            <w:vAlign w:val="bottom"/>
          </w:tcPr>
          <w:p>
            <w:pPr>
              <w:ind w:left="200"/>
              <w:spacing w:after="0"/>
              <w:rPr>
                <w:sz w:val="20"/>
                <w:szCs w:val="20"/>
                <w:color w:val="auto"/>
              </w:rPr>
            </w:pPr>
            <w:r>
              <w:rPr>
                <w:rFonts w:ascii="Arial" w:cs="Arial" w:eastAsia="Arial" w:hAnsi="Arial"/>
                <w:sz w:val="18"/>
                <w:szCs w:val="18"/>
                <w:color w:val="auto"/>
              </w:rPr>
              <w:t>Cumulative preferred stock, $1 par value per share - authorized 5,000,000 shares</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21"/>
        </w:trPr>
        <w:tc>
          <w:tcPr>
            <w:tcW w:w="750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3"/>
              </w:rPr>
              <w:t>Common stock, $0.01 par value per share - authorized 95,000,000 shares, issued 51,601,000 and</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r>
      <w:tr>
        <w:trPr>
          <w:trHeight w:val="244"/>
        </w:trPr>
        <w:tc>
          <w:tcPr>
            <w:tcW w:w="75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50,955,000 shares, respectively</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0.5</w:t>
            </w: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0.5</w:t>
            </w:r>
          </w:p>
        </w:tc>
      </w:tr>
      <w:tr>
        <w:trPr>
          <w:trHeight w:val="236"/>
        </w:trPr>
        <w:tc>
          <w:tcPr>
            <w:tcW w:w="7500" w:type="dxa"/>
            <w:vAlign w:val="bottom"/>
          </w:tcPr>
          <w:p>
            <w:pPr>
              <w:ind w:left="200"/>
              <w:spacing w:after="0"/>
              <w:rPr>
                <w:sz w:val="20"/>
                <w:szCs w:val="20"/>
                <w:color w:val="auto"/>
              </w:rPr>
            </w:pPr>
            <w:r>
              <w:rPr>
                <w:rFonts w:ascii="Arial" w:cs="Arial" w:eastAsia="Arial" w:hAnsi="Arial"/>
                <w:sz w:val="18"/>
                <w:szCs w:val="18"/>
                <w:color w:val="auto"/>
              </w:rPr>
              <w:t>Capital surplus</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2,393.4</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2,388.3</w:t>
            </w:r>
          </w:p>
        </w:tc>
      </w:tr>
      <w:tr>
        <w:trPr>
          <w:trHeight w:val="249"/>
        </w:trPr>
        <w:tc>
          <w:tcPr>
            <w:tcW w:w="75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Accumulated deficit</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(2,453.2 )</w:t>
            </w: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(2,475.0 )</w:t>
            </w:r>
          </w:p>
        </w:tc>
      </w:tr>
      <w:tr>
        <w:trPr>
          <w:trHeight w:val="236"/>
        </w:trPr>
        <w:tc>
          <w:tcPr>
            <w:tcW w:w="7500" w:type="dxa"/>
            <w:vAlign w:val="bottom"/>
          </w:tcPr>
          <w:p>
            <w:pPr>
              <w:ind w:left="20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(229.5 )</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(184.6 )</w:t>
            </w:r>
          </w:p>
        </w:tc>
      </w:tr>
      <w:tr>
        <w:trPr>
          <w:trHeight w:val="249"/>
        </w:trPr>
        <w:tc>
          <w:tcPr>
            <w:tcW w:w="75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Treasury stock, at cost</w:t>
            </w:r>
          </w:p>
        </w:tc>
        <w:tc>
          <w:tcPr>
            <w:tcW w:w="2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(92.7 )</w:t>
            </w:r>
          </w:p>
        </w:tc>
        <w:tc>
          <w:tcPr>
            <w:tcW w:w="1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(92.7 )</w:t>
            </w:r>
          </w:p>
        </w:tc>
      </w:tr>
      <w:tr>
        <w:trPr>
          <w:trHeight w:val="236"/>
        </w:trPr>
        <w:tc>
          <w:tcPr>
            <w:tcW w:w="7500" w:type="dxa"/>
            <w:vAlign w:val="bottom"/>
          </w:tcPr>
          <w:p>
            <w:pPr>
              <w:ind w:left="380"/>
              <w:spacing w:after="0"/>
              <w:rPr>
                <w:sz w:val="20"/>
                <w:szCs w:val="20"/>
                <w:color w:val="auto"/>
              </w:rPr>
            </w:pPr>
            <w:r>
              <w:rPr>
                <w:rFonts w:ascii="Arial" w:cs="Arial" w:eastAsia="Arial" w:hAnsi="Arial"/>
                <w:sz w:val="18"/>
                <w:szCs w:val="18"/>
                <w:color w:val="auto"/>
              </w:rPr>
              <w:t>Total shareholders’ deficit</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(381.5 )</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(363.5 )</w:t>
            </w:r>
          </w:p>
        </w:tc>
      </w:tr>
      <w:tr>
        <w:trPr>
          <w:trHeight w:val="276"/>
        </w:trPr>
        <w:tc>
          <w:tcPr>
            <w:tcW w:w="75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b w:val="1"/>
                <w:bCs w:val="1"/>
                <w:color w:val="auto"/>
              </w:rPr>
              <w:t>Total Liabilities and Shareholders’ Deficit</w:t>
            </w:r>
          </w:p>
        </w:tc>
        <w:tc>
          <w:tcPr>
            <w:tcW w:w="2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2,279.3</w:t>
            </w:r>
          </w:p>
        </w:tc>
        <w:tc>
          <w:tcPr>
            <w:tcW w:w="1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2,425.6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5964555</wp:posOffset>
            </wp:positionH>
            <wp:positionV relativeFrom="paragraph">
              <wp:posOffset>-5496560</wp:posOffset>
            </wp:positionV>
            <wp:extent cx="111125" cy="1625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11125" cy="162560"/>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-4862830</wp:posOffset>
            </wp:positionV>
            <wp:extent cx="111125" cy="1625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11125" cy="162560"/>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-4237990</wp:posOffset>
            </wp:positionV>
            <wp:extent cx="111125" cy="1885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11125" cy="18859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-2662555</wp:posOffset>
            </wp:positionV>
            <wp:extent cx="111125" cy="1714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11125" cy="171450"/>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-350520</wp:posOffset>
            </wp:positionV>
            <wp:extent cx="111125" cy="1714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11125" cy="171450"/>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-24765</wp:posOffset>
            </wp:positionV>
            <wp:extent cx="1111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-7620</wp:posOffset>
            </wp:positionV>
            <wp:extent cx="1111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5" w:name="page36"/>
    <w:bookmarkEnd w:id="35"/>
    <w:p>
      <w:pPr>
        <w:ind w:left="3640"/>
        <w:spacing w:after="0"/>
        <w:rPr>
          <w:sz w:val="20"/>
          <w:szCs w:val="20"/>
          <w:color w:val="auto"/>
        </w:rPr>
      </w:pPr>
      <w:r>
        <w:rPr>
          <w:rFonts w:ascii="Arial" w:cs="Arial" w:eastAsia="Arial" w:hAnsi="Arial"/>
          <w:sz w:val="18"/>
          <w:szCs w:val="18"/>
          <w:color w:val="auto"/>
        </w:rPr>
        <w:t>CONSOLIDATED STATEMENTS OF OPERATIONS</w:t>
      </w:r>
    </w:p>
    <w:p>
      <w:pPr>
        <w:spacing w:after="0" w:line="2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Yellow Corporation and Subsidiaries</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For the Years Ended December 31</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(Amounts in millions except per share data; shares in thousands)</w:t>
            </w:r>
          </w:p>
        </w:tc>
        <w:tc>
          <w:tcPr>
            <w:tcW w:w="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r>
      <w:tr>
        <w:trPr>
          <w:trHeight w:val="236"/>
        </w:trPr>
        <w:tc>
          <w:tcPr>
            <w:tcW w:w="6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Operating Revenue</w:t>
            </w:r>
          </w:p>
        </w:tc>
        <w:tc>
          <w:tcPr>
            <w:tcW w:w="1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5,244.7</w:t>
            </w:r>
          </w:p>
        </w:tc>
        <w:tc>
          <w:tcPr>
            <w:tcW w:w="28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5,121.8</w:t>
            </w:r>
          </w:p>
        </w:tc>
        <w:tc>
          <w:tcPr>
            <w:tcW w:w="2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4,513.7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2"/>
        </w:trPr>
        <w:tc>
          <w:tcPr>
            <w:tcW w:w="642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4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Salaries, wages and employee benefits</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2,808.3</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2,921.7</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2,770.1</w:t>
            </w:r>
          </w:p>
        </w:tc>
        <w:tc>
          <w:tcPr>
            <w:tcW w:w="100" w:type="dxa"/>
            <w:vAlign w:val="bottom"/>
            <w:shd w:val="clear" w:color="auto" w:fill="CFF0FC"/>
          </w:tcPr>
          <w:p>
            <w:pPr>
              <w:spacing w:after="0"/>
              <w:rPr>
                <w:sz w:val="21"/>
                <w:szCs w:val="21"/>
                <w:color w:val="auto"/>
              </w:rPr>
            </w:pPr>
          </w:p>
        </w:tc>
      </w:tr>
      <w:tr>
        <w:trPr>
          <w:trHeight w:val="236"/>
        </w:trPr>
        <w:tc>
          <w:tcPr>
            <w:tcW w:w="6420" w:type="dxa"/>
            <w:vAlign w:val="bottom"/>
          </w:tcPr>
          <w:p>
            <w:pPr>
              <w:ind w:left="200"/>
              <w:spacing w:after="0"/>
              <w:rPr>
                <w:sz w:val="20"/>
                <w:szCs w:val="20"/>
                <w:color w:val="auto"/>
              </w:rPr>
            </w:pPr>
            <w:r>
              <w:rPr>
                <w:rFonts w:ascii="Arial" w:cs="Arial" w:eastAsia="Arial" w:hAnsi="Arial"/>
                <w:sz w:val="18"/>
                <w:szCs w:val="18"/>
                <w:color w:val="auto"/>
              </w:rPr>
              <w:t>Fuel, operating expenses and supplies</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1,076.6</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858.1</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719.1</w:t>
            </w:r>
          </w:p>
        </w:tc>
        <w:tc>
          <w:tcPr>
            <w:tcW w:w="100" w:type="dxa"/>
            <w:vAlign w:val="bottom"/>
          </w:tcPr>
          <w:p>
            <w:pPr>
              <w:spacing w:after="0"/>
              <w:rPr>
                <w:sz w:val="20"/>
                <w:szCs w:val="20"/>
                <w:color w:val="auto"/>
              </w:rPr>
            </w:pPr>
          </w:p>
        </w:tc>
      </w:tr>
      <w:tr>
        <w:trPr>
          <w:trHeight w:val="249"/>
        </w:trPr>
        <w:tc>
          <w:tcPr>
            <w:tcW w:w="64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Purchased transportation</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748.5</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800.2</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638.8</w:t>
            </w:r>
          </w:p>
        </w:tc>
        <w:tc>
          <w:tcPr>
            <w:tcW w:w="100" w:type="dxa"/>
            <w:vAlign w:val="bottom"/>
            <w:shd w:val="clear" w:color="auto" w:fill="CFF0FC"/>
          </w:tcPr>
          <w:p>
            <w:pPr>
              <w:spacing w:after="0"/>
              <w:rPr>
                <w:sz w:val="21"/>
                <w:szCs w:val="21"/>
                <w:color w:val="auto"/>
              </w:rPr>
            </w:pPr>
          </w:p>
        </w:tc>
      </w:tr>
      <w:tr>
        <w:trPr>
          <w:trHeight w:val="236"/>
        </w:trPr>
        <w:tc>
          <w:tcPr>
            <w:tcW w:w="642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143.4</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143.6</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134.9</w:t>
            </w:r>
          </w:p>
        </w:tc>
        <w:tc>
          <w:tcPr>
            <w:tcW w:w="100" w:type="dxa"/>
            <w:vAlign w:val="bottom"/>
          </w:tcPr>
          <w:p>
            <w:pPr>
              <w:spacing w:after="0"/>
              <w:rPr>
                <w:sz w:val="20"/>
                <w:szCs w:val="20"/>
                <w:color w:val="auto"/>
              </w:rPr>
            </w:pPr>
          </w:p>
        </w:tc>
      </w:tr>
      <w:tr>
        <w:trPr>
          <w:trHeight w:val="249"/>
        </w:trPr>
        <w:tc>
          <w:tcPr>
            <w:tcW w:w="64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 operating expenses</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308.1</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293.9</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239.6</w:t>
            </w:r>
          </w:p>
        </w:tc>
        <w:tc>
          <w:tcPr>
            <w:tcW w:w="100" w:type="dxa"/>
            <w:vAlign w:val="bottom"/>
            <w:shd w:val="clear" w:color="auto" w:fill="CFF0FC"/>
          </w:tcPr>
          <w:p>
            <w:pPr>
              <w:spacing w:after="0"/>
              <w:rPr>
                <w:sz w:val="21"/>
                <w:szCs w:val="21"/>
                <w:color w:val="auto"/>
              </w:rPr>
            </w:pPr>
          </w:p>
        </w:tc>
      </w:tr>
      <w:tr>
        <w:trPr>
          <w:trHeight w:val="236"/>
        </w:trPr>
        <w:tc>
          <w:tcPr>
            <w:tcW w:w="6420" w:type="dxa"/>
            <w:vAlign w:val="bottom"/>
          </w:tcPr>
          <w:p>
            <w:pPr>
              <w:ind w:left="200"/>
              <w:spacing w:after="0"/>
              <w:rPr>
                <w:sz w:val="20"/>
                <w:szCs w:val="20"/>
                <w:color w:val="auto"/>
              </w:rPr>
            </w:pPr>
            <w:r>
              <w:rPr>
                <w:rFonts w:ascii="Arial" w:cs="Arial" w:eastAsia="Arial" w:hAnsi="Arial"/>
                <w:sz w:val="18"/>
                <w:szCs w:val="18"/>
                <w:color w:val="auto"/>
              </w:rPr>
              <w:t>(Gains) losses on property disposals, net</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(38.0 )</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0.7</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(45.3 )</w:t>
            </w:r>
          </w:p>
        </w:tc>
      </w:tr>
      <w:tr>
        <w:trPr>
          <w:trHeight w:val="242"/>
        </w:trPr>
        <w:tc>
          <w:tcPr>
            <w:tcW w:w="6420" w:type="dxa"/>
            <w:vAlign w:val="bottom"/>
            <w:tcBorders>
              <w:top w:val="single" w:sz="8" w:color="CFF0FC"/>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top w:val="single" w:sz="8" w:color="CFF0FC"/>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spacing w:after="0"/>
              <w:rPr>
                <w:sz w:val="21"/>
                <w:szCs w:val="21"/>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5,046.9</w:t>
            </w:r>
          </w:p>
        </w:tc>
        <w:tc>
          <w:tcPr>
            <w:tcW w:w="280" w:type="dxa"/>
            <w:vAlign w:val="bottom"/>
            <w:tcBorders>
              <w:top w:val="single" w:sz="8" w:color="CFF0FC"/>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spacing w:after="0"/>
              <w:rPr>
                <w:sz w:val="21"/>
                <w:szCs w:val="21"/>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5,018.2</w:t>
            </w:r>
          </w:p>
        </w:tc>
        <w:tc>
          <w:tcPr>
            <w:tcW w:w="260" w:type="dxa"/>
            <w:vAlign w:val="bottom"/>
            <w:tcBorders>
              <w:top w:val="single" w:sz="8" w:color="CFF0FC"/>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spacing w:after="0"/>
              <w:rPr>
                <w:sz w:val="21"/>
                <w:szCs w:val="21"/>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4,457.2</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r>
      <w:tr>
        <w:trPr>
          <w:trHeight w:val="236"/>
        </w:trPr>
        <w:tc>
          <w:tcPr>
            <w:tcW w:w="6420" w:type="dxa"/>
            <w:vAlign w:val="bottom"/>
          </w:tcPr>
          <w:p>
            <w:pPr>
              <w:ind w:left="560"/>
              <w:spacing w:after="0"/>
              <w:rPr>
                <w:sz w:val="20"/>
                <w:szCs w:val="20"/>
                <w:color w:val="auto"/>
              </w:rPr>
            </w:pPr>
            <w:r>
              <w:rPr>
                <w:rFonts w:ascii="Arial" w:cs="Arial" w:eastAsia="Arial" w:hAnsi="Arial"/>
                <w:sz w:val="18"/>
                <w:szCs w:val="18"/>
                <w:b w:val="1"/>
                <w:bCs w:val="1"/>
                <w:color w:val="auto"/>
              </w:rPr>
              <w:t>Operating Income</w:t>
            </w: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197.8</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103.6</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w:t>
            </w:r>
          </w:p>
        </w:tc>
        <w:tc>
          <w:tcPr>
            <w:tcW w:w="100" w:type="dxa"/>
            <w:vAlign w:val="bottom"/>
          </w:tcPr>
          <w:p>
            <w:pPr>
              <w:spacing w:after="0"/>
              <w:rPr>
                <w:sz w:val="20"/>
                <w:szCs w:val="20"/>
                <w:color w:val="auto"/>
              </w:rPr>
            </w:pPr>
          </w:p>
        </w:tc>
      </w:tr>
      <w:tr>
        <w:trPr>
          <w:trHeight w:val="236"/>
        </w:trPr>
        <w:tc>
          <w:tcPr>
            <w:tcW w:w="64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Nonoperating Expenses:</w:t>
            </w:r>
          </w:p>
        </w:tc>
        <w:tc>
          <w:tcPr>
            <w:tcW w:w="1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6"/>
        </w:trPr>
        <w:tc>
          <w:tcPr>
            <w:tcW w:w="642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162.9</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150.7</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135.9</w:t>
            </w:r>
          </w:p>
        </w:tc>
        <w:tc>
          <w:tcPr>
            <w:tcW w:w="100" w:type="dxa"/>
            <w:vAlign w:val="bottom"/>
          </w:tcPr>
          <w:p>
            <w:pPr>
              <w:spacing w:after="0"/>
              <w:rPr>
                <w:sz w:val="20"/>
                <w:szCs w:val="20"/>
                <w:color w:val="auto"/>
              </w:rPr>
            </w:pPr>
          </w:p>
        </w:tc>
      </w:tr>
      <w:tr>
        <w:trPr>
          <w:trHeight w:val="249"/>
        </w:trPr>
        <w:tc>
          <w:tcPr>
            <w:tcW w:w="64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Non-union pension and postretirement benefits</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59.3</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(6.3 )</w:t>
            </w:r>
          </w:p>
        </w:tc>
      </w:tr>
      <w:tr>
        <w:trPr>
          <w:trHeight w:val="243"/>
        </w:trPr>
        <w:tc>
          <w:tcPr>
            <w:tcW w:w="642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(2.1 )</w:t>
            </w:r>
          </w:p>
        </w:tc>
        <w:tc>
          <w:tcPr>
            <w:tcW w:w="32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(0.4 )</w:t>
            </w:r>
          </w:p>
        </w:tc>
        <w:tc>
          <w:tcPr>
            <w:tcW w:w="30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6"/>
        </w:trPr>
        <w:tc>
          <w:tcPr>
            <w:tcW w:w="64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Nonoperating expenses, net</w:t>
            </w:r>
          </w:p>
        </w:tc>
        <w:tc>
          <w:tcPr>
            <w:tcW w:w="1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171.3</w:t>
            </w:r>
          </w:p>
        </w:tc>
        <w:tc>
          <w:tcPr>
            <w:tcW w:w="28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209.6</w:t>
            </w:r>
          </w:p>
        </w:tc>
        <w:tc>
          <w:tcPr>
            <w:tcW w:w="2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0"/>
        </w:trPr>
        <w:tc>
          <w:tcPr>
            <w:tcW w:w="642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26.5</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(106.0 )</w:t>
            </w:r>
          </w:p>
        </w:tc>
        <w:tc>
          <w:tcPr>
            <w:tcW w:w="3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(73.1 )</w:t>
            </w:r>
          </w:p>
        </w:tc>
      </w:tr>
      <w:tr>
        <w:trPr>
          <w:trHeight w:val="249"/>
        </w:trPr>
        <w:tc>
          <w:tcPr>
            <w:tcW w:w="6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tax expense (benefit)</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(19.6 )</w:t>
            </w:r>
          </w:p>
        </w:tc>
      </w:tr>
      <w:tr>
        <w:trPr>
          <w:trHeight w:val="20"/>
        </w:trPr>
        <w:tc>
          <w:tcPr>
            <w:tcW w:w="64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6420" w:type="dxa"/>
            <w:vAlign w:val="bottom"/>
          </w:tcPr>
          <w:p>
            <w:pPr>
              <w:ind w:left="20"/>
              <w:spacing w:after="0"/>
              <w:rPr>
                <w:sz w:val="20"/>
                <w:szCs w:val="20"/>
                <w:color w:val="auto"/>
              </w:rPr>
            </w:pPr>
            <w:r>
              <w:rPr>
                <w:rFonts w:ascii="Arial" w:cs="Arial" w:eastAsia="Arial" w:hAnsi="Arial"/>
                <w:sz w:val="18"/>
                <w:szCs w:val="18"/>
                <w:b w:val="1"/>
                <w:bCs w:val="1"/>
                <w:color w:val="auto"/>
              </w:rPr>
              <w:t>Net Income (Loss)</w:t>
            </w:r>
          </w:p>
        </w:tc>
        <w:tc>
          <w:tcPr>
            <w:tcW w:w="16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21.8</w:t>
            </w:r>
          </w:p>
        </w:tc>
        <w:tc>
          <w:tcPr>
            <w:tcW w:w="28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(109.1 )</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(53.5 )</w:t>
            </w:r>
          </w:p>
        </w:tc>
      </w:tr>
      <w:tr>
        <w:trPr>
          <w:trHeight w:val="20"/>
        </w:trPr>
        <w:tc>
          <w:tcPr>
            <w:tcW w:w="6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6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6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Average Common Shares Outstanding - Basic</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51,346</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50,720</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41,694</w:t>
            </w:r>
          </w:p>
        </w:tc>
        <w:tc>
          <w:tcPr>
            <w:tcW w:w="100" w:type="dxa"/>
            <w:vAlign w:val="bottom"/>
            <w:shd w:val="clear" w:color="auto" w:fill="CFF0FC"/>
          </w:tcPr>
          <w:p>
            <w:pPr>
              <w:spacing w:after="0"/>
              <w:rPr>
                <w:sz w:val="21"/>
                <w:szCs w:val="21"/>
                <w:color w:val="auto"/>
              </w:rPr>
            </w:pPr>
          </w:p>
        </w:tc>
      </w:tr>
      <w:tr>
        <w:trPr>
          <w:trHeight w:val="236"/>
        </w:trPr>
        <w:tc>
          <w:tcPr>
            <w:tcW w:w="6420" w:type="dxa"/>
            <w:vAlign w:val="bottom"/>
          </w:tcPr>
          <w:p>
            <w:pPr>
              <w:ind w:left="20"/>
              <w:spacing w:after="0"/>
              <w:rPr>
                <w:sz w:val="20"/>
                <w:szCs w:val="20"/>
                <w:color w:val="auto"/>
              </w:rPr>
            </w:pPr>
            <w:r>
              <w:rPr>
                <w:rFonts w:ascii="Arial" w:cs="Arial" w:eastAsia="Arial" w:hAnsi="Arial"/>
                <w:sz w:val="18"/>
                <w:szCs w:val="18"/>
                <w:color w:val="auto"/>
              </w:rPr>
              <w:t>Average Common Shares Outstanding - Diluted</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52,233</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50,720</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41,694</w:t>
            </w:r>
          </w:p>
        </w:tc>
        <w:tc>
          <w:tcPr>
            <w:tcW w:w="100" w:type="dxa"/>
            <w:vAlign w:val="bottom"/>
          </w:tcPr>
          <w:p>
            <w:pPr>
              <w:spacing w:after="0"/>
              <w:rPr>
                <w:sz w:val="20"/>
                <w:szCs w:val="20"/>
                <w:color w:val="auto"/>
              </w:rPr>
            </w:pPr>
          </w:p>
        </w:tc>
      </w:tr>
      <w:tr>
        <w:trPr>
          <w:trHeight w:val="249"/>
        </w:trPr>
        <w:tc>
          <w:tcPr>
            <w:tcW w:w="6420" w:type="dxa"/>
            <w:vAlign w:val="bottom"/>
            <w:shd w:val="clear" w:color="auto" w:fill="CFF0FC"/>
          </w:tcPr>
          <w:p>
            <w:pPr>
              <w:spacing w:after="0"/>
              <w:rPr>
                <w:sz w:val="21"/>
                <w:szCs w:val="21"/>
                <w:color w:val="auto"/>
              </w:rPr>
            </w:pPr>
          </w:p>
        </w:tc>
        <w:tc>
          <w:tcPr>
            <w:tcW w:w="480" w:type="dxa"/>
            <w:vAlign w:val="bottom"/>
            <w:gridSpan w:val="2"/>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spacing w:after="0"/>
              <w:rPr>
                <w:sz w:val="21"/>
                <w:szCs w:val="21"/>
                <w:color w:val="auto"/>
              </w:rPr>
            </w:pPr>
          </w:p>
        </w:tc>
      </w:tr>
      <w:tr>
        <w:trPr>
          <w:trHeight w:val="236"/>
        </w:trPr>
        <w:tc>
          <w:tcPr>
            <w:tcW w:w="6420" w:type="dxa"/>
            <w:vAlign w:val="bottom"/>
          </w:tcPr>
          <w:p>
            <w:pPr>
              <w:ind w:left="20"/>
              <w:spacing w:after="0"/>
              <w:rPr>
                <w:sz w:val="20"/>
                <w:szCs w:val="20"/>
                <w:color w:val="auto"/>
              </w:rPr>
            </w:pPr>
            <w:r>
              <w:rPr>
                <w:rFonts w:ascii="Arial" w:cs="Arial" w:eastAsia="Arial" w:hAnsi="Arial"/>
                <w:sz w:val="18"/>
                <w:szCs w:val="18"/>
                <w:color w:val="auto"/>
              </w:rPr>
              <w:t>Income (Loss) Per Share - Basic</w:t>
            </w:r>
          </w:p>
        </w:tc>
        <w:tc>
          <w:tcPr>
            <w:tcW w:w="4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0.42</w:t>
            </w:r>
          </w:p>
        </w:tc>
        <w:tc>
          <w:tcPr>
            <w:tcW w:w="28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(2.15 )</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(1.28 )</w:t>
            </w:r>
          </w:p>
        </w:tc>
      </w:tr>
      <w:tr>
        <w:trPr>
          <w:trHeight w:val="249"/>
        </w:trPr>
        <w:tc>
          <w:tcPr>
            <w:tcW w:w="6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(Loss) Per Share - Diluted</w:t>
            </w:r>
          </w:p>
        </w:tc>
        <w:tc>
          <w:tcPr>
            <w:tcW w:w="4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0.42</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(2.15 )</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5039995</wp:posOffset>
            </wp:positionH>
            <wp:positionV relativeFrom="paragraph">
              <wp:posOffset>-3629660</wp:posOffset>
            </wp:positionV>
            <wp:extent cx="76835" cy="1625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-3629660</wp:posOffset>
            </wp:positionV>
            <wp:extent cx="68580" cy="1625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-3629660</wp:posOffset>
            </wp:positionV>
            <wp:extent cx="68580" cy="1625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-2555240</wp:posOffset>
            </wp:positionV>
            <wp:extent cx="7145020" cy="3467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5020" cy="346710"/>
                    </a:xfrm>
                    <a:prstGeom prst="rect">
                      <a:avLst/>
                    </a:prstGeom>
                    <a:noFill/>
                  </pic:spPr>
                </pic:pic>
              </a:graphicData>
            </a:graphic>
          </wp:anchor>
        </w:drawing>
        <w:drawing>
          <wp:anchor simplePos="0" relativeHeight="251657728" behindDoc="1" locked="0" layoutInCell="0" allowOverlap="1">
            <wp:simplePos x="0" y="0"/>
            <wp:positionH relativeFrom="column">
              <wp:posOffset>5039995</wp:posOffset>
            </wp:positionH>
            <wp:positionV relativeFrom="paragraph">
              <wp:posOffset>-1429385</wp:posOffset>
            </wp:positionV>
            <wp:extent cx="76835" cy="1625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-1429385</wp:posOffset>
            </wp:positionV>
            <wp:extent cx="68580" cy="1625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-1429385</wp:posOffset>
            </wp:positionV>
            <wp:extent cx="68580" cy="1625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5039995</wp:posOffset>
            </wp:positionH>
            <wp:positionV relativeFrom="paragraph">
              <wp:posOffset>-1112520</wp:posOffset>
            </wp:positionV>
            <wp:extent cx="76835" cy="3422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6835" cy="34226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-1112520</wp:posOffset>
            </wp:positionV>
            <wp:extent cx="68580" cy="3422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34226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-1112520</wp:posOffset>
            </wp:positionV>
            <wp:extent cx="68580" cy="3422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342265"/>
                    </a:xfrm>
                    <a:prstGeom prst="rect">
                      <a:avLst/>
                    </a:prstGeom>
                    <a:noFill/>
                  </pic:spPr>
                </pic:pic>
              </a:graphicData>
            </a:graphic>
          </wp:anchor>
        </w:drawing>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color w:val="auto"/>
        </w:rPr>
        <w:t>CONSOLIDATED STATEMENTS OF COMPREHENSIVE INCOME (LOSS)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Yellow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Years Ended December 31</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r>
      <w:tr>
        <w:trPr>
          <w:trHeight w:val="236"/>
        </w:trPr>
        <w:tc>
          <w:tcPr>
            <w:tcW w:w="64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Income (Loss)</w:t>
            </w:r>
          </w:p>
        </w:tc>
        <w:tc>
          <w:tcPr>
            <w:tcW w:w="16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21.8</w:t>
            </w:r>
          </w:p>
        </w:tc>
        <w:tc>
          <w:tcPr>
            <w:tcW w:w="16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(109.1 )</w:t>
            </w: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(53.5 )</w:t>
            </w:r>
          </w:p>
        </w:tc>
      </w:tr>
      <w:tr>
        <w:trPr>
          <w:trHeight w:val="236"/>
        </w:trPr>
        <w:tc>
          <w:tcPr>
            <w:tcW w:w="642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9"/>
        </w:trPr>
        <w:tc>
          <w:tcPr>
            <w:tcW w:w="64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Pension, net of tax:</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r>
      <w:tr>
        <w:trPr>
          <w:trHeight w:val="236"/>
        </w:trPr>
        <w:tc>
          <w:tcPr>
            <w:tcW w:w="6420" w:type="dxa"/>
            <w:vAlign w:val="bottom"/>
          </w:tcPr>
          <w:p>
            <w:pPr>
              <w:ind w:left="380"/>
              <w:spacing w:after="0"/>
              <w:rPr>
                <w:sz w:val="20"/>
                <w:szCs w:val="20"/>
                <w:color w:val="auto"/>
              </w:rPr>
            </w:pPr>
            <w:r>
              <w:rPr>
                <w:rFonts w:ascii="Arial" w:cs="Arial" w:eastAsia="Arial" w:hAnsi="Arial"/>
                <w:sz w:val="18"/>
                <w:szCs w:val="18"/>
                <w:color w:val="auto"/>
              </w:rPr>
              <w:t>Net actuarial gains (losses)</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(62.4 )</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(112.7 )</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204.6</w:t>
            </w:r>
          </w:p>
        </w:tc>
      </w:tr>
      <w:tr>
        <w:trPr>
          <w:trHeight w:val="249"/>
        </w:trPr>
        <w:tc>
          <w:tcPr>
            <w:tcW w:w="64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Settlement adjustments</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12.1</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64.7</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2.7</w:t>
            </w:r>
          </w:p>
        </w:tc>
      </w:tr>
      <w:tr>
        <w:trPr>
          <w:trHeight w:val="236"/>
        </w:trPr>
        <w:tc>
          <w:tcPr>
            <w:tcW w:w="6420" w:type="dxa"/>
            <w:vAlign w:val="bottom"/>
          </w:tcPr>
          <w:p>
            <w:pPr>
              <w:ind w:left="380"/>
              <w:spacing w:after="0"/>
              <w:rPr>
                <w:sz w:val="20"/>
                <w:szCs w:val="20"/>
                <w:color w:val="auto"/>
              </w:rPr>
            </w:pPr>
            <w:r>
              <w:rPr>
                <w:rFonts w:ascii="Arial" w:cs="Arial" w:eastAsia="Arial" w:hAnsi="Arial"/>
                <w:sz w:val="18"/>
                <w:szCs w:val="18"/>
                <w:color w:val="auto"/>
              </w:rPr>
              <w:t>Amortization of prior net losses</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8.6</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12.1</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12.7</w:t>
            </w:r>
          </w:p>
        </w:tc>
      </w:tr>
      <w:tr>
        <w:trPr>
          <w:trHeight w:val="249"/>
        </w:trPr>
        <w:tc>
          <w:tcPr>
            <w:tcW w:w="64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Amortization of prior net service credit</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(0.4 )</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(0.4 )</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(0.4 )</w:t>
            </w:r>
          </w:p>
        </w:tc>
      </w:tr>
      <w:tr>
        <w:trPr>
          <w:trHeight w:val="236"/>
        </w:trPr>
        <w:tc>
          <w:tcPr>
            <w:tcW w:w="6420" w:type="dxa"/>
            <w:vAlign w:val="bottom"/>
            <w:tcBorders>
              <w:bottom w:val="single" w:sz="8" w:color="CFF0FC"/>
            </w:tcBorders>
          </w:tcPr>
          <w:p>
            <w:pPr>
              <w:ind w:left="200"/>
              <w:spacing w:after="0"/>
              <w:rPr>
                <w:sz w:val="20"/>
                <w:szCs w:val="20"/>
                <w:color w:val="auto"/>
              </w:rPr>
            </w:pPr>
            <w:r>
              <w:rPr>
                <w:rFonts w:ascii="Arial" w:cs="Arial" w:eastAsia="Arial" w:hAnsi="Arial"/>
                <w:sz w:val="18"/>
                <w:szCs w:val="18"/>
                <w:color w:val="auto"/>
              </w:rPr>
              <w:t>Changes in foreign currency translation, net of tax</w:t>
            </w:r>
          </w:p>
        </w:tc>
        <w:tc>
          <w:tcPr>
            <w:tcW w:w="160" w:type="dxa"/>
            <w:vAlign w:val="bottom"/>
            <w:tcBorders>
              <w:bottom w:val="single" w:sz="8" w:color="CFF0F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(2.8 )</w:t>
            </w:r>
          </w:p>
        </w:tc>
        <w:tc>
          <w:tcPr>
            <w:tcW w:w="160" w:type="dxa"/>
            <w:vAlign w:val="bottom"/>
            <w:tcBorders>
              <w:bottom w:val="single" w:sz="8" w:color="CFF0F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0.5</w:t>
            </w:r>
          </w:p>
        </w:tc>
        <w:tc>
          <w:tcPr>
            <w:tcW w:w="16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0.9</w:t>
            </w:r>
          </w:p>
        </w:tc>
      </w:tr>
      <w:tr>
        <w:trPr>
          <w:trHeight w:val="242"/>
        </w:trPr>
        <w:tc>
          <w:tcPr>
            <w:tcW w:w="6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(44.9 )</w:t>
            </w:r>
          </w:p>
        </w:tc>
        <w:tc>
          <w:tcPr>
            <w:tcW w:w="1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(35.8 )</w:t>
            </w: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220.5</w:t>
            </w:r>
          </w:p>
        </w:tc>
      </w:tr>
      <w:tr>
        <w:trPr>
          <w:trHeight w:val="236"/>
        </w:trPr>
        <w:tc>
          <w:tcPr>
            <w:tcW w:w="6420" w:type="dxa"/>
            <w:vAlign w:val="bottom"/>
          </w:tcPr>
          <w:p>
            <w:pPr>
              <w:ind w:left="20"/>
              <w:spacing w:after="0"/>
              <w:rPr>
                <w:sz w:val="20"/>
                <w:szCs w:val="20"/>
                <w:color w:val="auto"/>
              </w:rPr>
            </w:pPr>
            <w:r>
              <w:rPr>
                <w:rFonts w:ascii="Arial" w:cs="Arial" w:eastAsia="Arial" w:hAnsi="Arial"/>
                <w:sz w:val="18"/>
                <w:szCs w:val="18"/>
                <w:b w:val="1"/>
                <w:bCs w:val="1"/>
                <w:color w:val="auto"/>
              </w:rPr>
              <w:t>Comprehensive Income (Loss)</w:t>
            </w:r>
          </w:p>
        </w:tc>
        <w:tc>
          <w:tcPr>
            <w:tcW w:w="4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(23.1 )</w:t>
            </w:r>
          </w:p>
        </w:tc>
        <w:tc>
          <w:tcPr>
            <w:tcW w:w="1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(144.9 )</w:t>
            </w:r>
          </w:p>
        </w:tc>
        <w:tc>
          <w:tcPr>
            <w:tcW w:w="16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167.0</w:t>
            </w:r>
          </w:p>
        </w:tc>
      </w:tr>
      <w:tr>
        <w:trPr>
          <w:trHeight w:val="20"/>
        </w:trPr>
        <w:tc>
          <w:tcPr>
            <w:tcW w:w="6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-363220</wp:posOffset>
            </wp:positionV>
            <wp:extent cx="7132320" cy="3638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363855"/>
                    </a:xfrm>
                    <a:prstGeom prst="rect">
                      <a:avLst/>
                    </a:prstGeom>
                    <a:noFill/>
                  </pic:spPr>
                </pic:pic>
              </a:graphicData>
            </a:graphic>
          </wp:anchor>
        </w:drawing>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color w:val="auto"/>
        </w:rPr>
        <w:t>CONSOLIDATED STATEMENTS OF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Yellow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Years Ended December 31</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36"/>
        </w:trPr>
        <w:tc>
          <w:tcPr>
            <w:tcW w:w="64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1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420" w:type="dxa"/>
            <w:vAlign w:val="bottom"/>
          </w:tcPr>
          <w:p>
            <w:pPr>
              <w:ind w:left="200"/>
              <w:spacing w:after="0"/>
              <w:rPr>
                <w:sz w:val="20"/>
                <w:szCs w:val="20"/>
                <w:color w:val="auto"/>
              </w:rPr>
            </w:pPr>
            <w:r>
              <w:rPr>
                <w:rFonts w:ascii="Arial" w:cs="Arial" w:eastAsia="Arial" w:hAnsi="Arial"/>
                <w:sz w:val="18"/>
                <w:szCs w:val="18"/>
                <w:color w:val="auto"/>
              </w:rPr>
              <w:t>Net income (loss)</w:t>
            </w: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21.8</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(109.1 )</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(53.5 )</w:t>
            </w:r>
          </w:p>
        </w:tc>
        <w:tc>
          <w:tcPr>
            <w:tcW w:w="0" w:type="dxa"/>
            <w:vAlign w:val="bottom"/>
          </w:tcPr>
          <w:p>
            <w:pPr>
              <w:spacing w:after="0"/>
              <w:rPr>
                <w:sz w:val="1"/>
                <w:szCs w:val="1"/>
                <w:color w:val="auto"/>
              </w:rPr>
            </w:pPr>
          </w:p>
        </w:tc>
      </w:tr>
      <w:tr>
        <w:trPr>
          <w:trHeight w:val="249"/>
        </w:trPr>
        <w:tc>
          <w:tcPr>
            <w:tcW w:w="642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5"/>
              </w:rPr>
              <w:t>Adjustments to reconcile net income (loss) to cash flows from operating activities:</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42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143.4</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143.6</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134.9</w:t>
            </w:r>
          </w:p>
        </w:tc>
        <w:tc>
          <w:tcPr>
            <w:tcW w:w="0" w:type="dxa"/>
            <w:vAlign w:val="bottom"/>
          </w:tcPr>
          <w:p>
            <w:pPr>
              <w:spacing w:after="0"/>
              <w:rPr>
                <w:sz w:val="1"/>
                <w:szCs w:val="1"/>
                <w:color w:val="auto"/>
              </w:rPr>
            </w:pPr>
          </w:p>
        </w:tc>
      </w:tr>
      <w:tr>
        <w:trPr>
          <w:trHeight w:val="249"/>
        </w:trPr>
        <w:tc>
          <w:tcPr>
            <w:tcW w:w="64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Lease amortization and accretion expense</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95.7</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133.3</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160.9</w:t>
            </w:r>
          </w:p>
        </w:tc>
        <w:tc>
          <w:tcPr>
            <w:tcW w:w="0" w:type="dxa"/>
            <w:vAlign w:val="bottom"/>
          </w:tcPr>
          <w:p>
            <w:pPr>
              <w:spacing w:after="0"/>
              <w:rPr>
                <w:sz w:val="1"/>
                <w:szCs w:val="1"/>
                <w:color w:val="auto"/>
              </w:rPr>
            </w:pPr>
          </w:p>
        </w:tc>
      </w:tr>
      <w:tr>
        <w:trPr>
          <w:trHeight w:val="236"/>
        </w:trPr>
        <w:tc>
          <w:tcPr>
            <w:tcW w:w="6420" w:type="dxa"/>
            <w:vAlign w:val="bottom"/>
          </w:tcPr>
          <w:p>
            <w:pPr>
              <w:ind w:left="380"/>
              <w:spacing w:after="0"/>
              <w:rPr>
                <w:sz w:val="20"/>
                <w:szCs w:val="20"/>
                <w:color w:val="auto"/>
              </w:rPr>
            </w:pPr>
            <w:r>
              <w:rPr>
                <w:rFonts w:ascii="Arial" w:cs="Arial" w:eastAsia="Arial" w:hAnsi="Arial"/>
                <w:sz w:val="18"/>
                <w:szCs w:val="18"/>
                <w:color w:val="auto"/>
              </w:rPr>
              <w:t>Lease payments</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(98.8 )</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(134.4 )</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(135.0 )</w:t>
            </w:r>
          </w:p>
        </w:tc>
        <w:tc>
          <w:tcPr>
            <w:tcW w:w="0" w:type="dxa"/>
            <w:vAlign w:val="bottom"/>
          </w:tcPr>
          <w:p>
            <w:pPr>
              <w:spacing w:after="0"/>
              <w:rPr>
                <w:sz w:val="1"/>
                <w:szCs w:val="1"/>
                <w:color w:val="auto"/>
              </w:rPr>
            </w:pPr>
          </w:p>
        </w:tc>
      </w:tr>
      <w:tr>
        <w:trPr>
          <w:trHeight w:val="249"/>
        </w:trPr>
        <w:tc>
          <w:tcPr>
            <w:tcW w:w="64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Paid-in-kind interest</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12.8</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9.3</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36"/>
        </w:trPr>
        <w:tc>
          <w:tcPr>
            <w:tcW w:w="6420" w:type="dxa"/>
            <w:vAlign w:val="bottom"/>
          </w:tcPr>
          <w:p>
            <w:pPr>
              <w:ind w:left="380"/>
              <w:spacing w:after="0"/>
              <w:rPr>
                <w:sz w:val="20"/>
                <w:szCs w:val="20"/>
                <w:color w:val="auto"/>
              </w:rPr>
            </w:pPr>
            <w:r>
              <w:rPr>
                <w:rFonts w:ascii="Arial" w:cs="Arial" w:eastAsia="Arial" w:hAnsi="Arial"/>
                <w:sz w:val="18"/>
                <w:szCs w:val="18"/>
                <w:color w:val="auto"/>
              </w:rPr>
              <w:t>Debt-related amortization</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23.6</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22.9</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49"/>
        </w:trPr>
        <w:tc>
          <w:tcPr>
            <w:tcW w:w="64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Equity-based compensation and employee benefits expense</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13.5</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16.1</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36"/>
        </w:trPr>
        <w:tc>
          <w:tcPr>
            <w:tcW w:w="6420" w:type="dxa"/>
            <w:vAlign w:val="bottom"/>
          </w:tcPr>
          <w:p>
            <w:pPr>
              <w:ind w:left="380"/>
              <w:spacing w:after="0"/>
              <w:rPr>
                <w:sz w:val="20"/>
                <w:szCs w:val="20"/>
                <w:color w:val="auto"/>
              </w:rPr>
            </w:pPr>
            <w:r>
              <w:rPr>
                <w:rFonts w:ascii="Arial" w:cs="Arial" w:eastAsia="Arial" w:hAnsi="Arial"/>
                <w:sz w:val="18"/>
                <w:szCs w:val="18"/>
                <w:color w:val="auto"/>
              </w:rPr>
              <w:t>Non-union pension settlement charges</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12.1</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64.7</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9"/>
        </w:trPr>
        <w:tc>
          <w:tcPr>
            <w:tcW w:w="64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(Gains) losses on property disposals, net</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(38.0 )</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0.7</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(45.3 )</w:t>
            </w:r>
          </w:p>
        </w:tc>
        <w:tc>
          <w:tcPr>
            <w:tcW w:w="0" w:type="dxa"/>
            <w:vAlign w:val="bottom"/>
          </w:tcPr>
          <w:p>
            <w:pPr>
              <w:spacing w:after="0"/>
              <w:rPr>
                <w:sz w:val="1"/>
                <w:szCs w:val="1"/>
                <w:color w:val="auto"/>
              </w:rPr>
            </w:pPr>
          </w:p>
        </w:tc>
      </w:tr>
      <w:tr>
        <w:trPr>
          <w:trHeight w:val="236"/>
        </w:trPr>
        <w:tc>
          <w:tcPr>
            <w:tcW w:w="6420" w:type="dxa"/>
            <w:vAlign w:val="bottom"/>
          </w:tcPr>
          <w:p>
            <w:pPr>
              <w:ind w:left="380"/>
              <w:spacing w:after="0"/>
              <w:rPr>
                <w:sz w:val="20"/>
                <w:szCs w:val="20"/>
                <w:color w:val="auto"/>
              </w:rPr>
            </w:pPr>
            <w:r>
              <w:rPr>
                <w:rFonts w:ascii="Arial" w:cs="Arial" w:eastAsia="Arial" w:hAnsi="Arial"/>
                <w:sz w:val="18"/>
                <w:szCs w:val="18"/>
                <w:color w:val="auto"/>
              </w:rPr>
              <w:t>Deferred income taxes, net</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(0.4 )</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(0.5 )</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(14.9 )</w:t>
            </w:r>
          </w:p>
        </w:tc>
        <w:tc>
          <w:tcPr>
            <w:tcW w:w="0" w:type="dxa"/>
            <w:vAlign w:val="bottom"/>
          </w:tcPr>
          <w:p>
            <w:pPr>
              <w:spacing w:after="0"/>
              <w:rPr>
                <w:sz w:val="1"/>
                <w:szCs w:val="1"/>
                <w:color w:val="auto"/>
              </w:rPr>
            </w:pPr>
          </w:p>
        </w:tc>
      </w:tr>
      <w:tr>
        <w:trPr>
          <w:trHeight w:val="249"/>
        </w:trPr>
        <w:tc>
          <w:tcPr>
            <w:tcW w:w="64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Other non-cash items, net</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(1.2 )</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0.7</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36"/>
        </w:trPr>
        <w:tc>
          <w:tcPr>
            <w:tcW w:w="6420" w:type="dxa"/>
            <w:vAlign w:val="bottom"/>
          </w:tcPr>
          <w:p>
            <w:pPr>
              <w:ind w:left="200"/>
              <w:spacing w:after="0"/>
              <w:rPr>
                <w:sz w:val="20"/>
                <w:szCs w:val="20"/>
                <w:color w:val="auto"/>
              </w:rPr>
            </w:pPr>
            <w:r>
              <w:rPr>
                <w:rFonts w:ascii="Arial" w:cs="Arial" w:eastAsia="Arial" w:hAnsi="Arial"/>
                <w:sz w:val="18"/>
                <w:szCs w:val="18"/>
                <w:color w:val="auto"/>
              </w:rPr>
              <w:t>Changes in assets and liabilities, net:</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4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Accounts receivable</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64.0</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(158.7 )</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(40.4 )</w:t>
            </w:r>
          </w:p>
        </w:tc>
        <w:tc>
          <w:tcPr>
            <w:tcW w:w="0" w:type="dxa"/>
            <w:vAlign w:val="bottom"/>
          </w:tcPr>
          <w:p>
            <w:pPr>
              <w:spacing w:after="0"/>
              <w:rPr>
                <w:sz w:val="1"/>
                <w:szCs w:val="1"/>
                <w:color w:val="auto"/>
              </w:rPr>
            </w:pPr>
          </w:p>
        </w:tc>
      </w:tr>
      <w:tr>
        <w:trPr>
          <w:trHeight w:val="236"/>
        </w:trPr>
        <w:tc>
          <w:tcPr>
            <w:tcW w:w="642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7.8</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16.8</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249"/>
        </w:trPr>
        <w:tc>
          <w:tcPr>
            <w:tcW w:w="64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Other operating assets</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(15.5 )</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(28.1 )</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(23.9 )</w:t>
            </w:r>
          </w:p>
        </w:tc>
        <w:tc>
          <w:tcPr>
            <w:tcW w:w="0" w:type="dxa"/>
            <w:vAlign w:val="bottom"/>
          </w:tcPr>
          <w:p>
            <w:pPr>
              <w:spacing w:after="0"/>
              <w:rPr>
                <w:sz w:val="1"/>
                <w:szCs w:val="1"/>
                <w:color w:val="auto"/>
              </w:rPr>
            </w:pPr>
          </w:p>
        </w:tc>
      </w:tr>
      <w:tr>
        <w:trPr>
          <w:trHeight w:val="243"/>
        </w:trPr>
        <w:tc>
          <w:tcPr>
            <w:tcW w:w="6420" w:type="dxa"/>
            <w:vAlign w:val="bottom"/>
          </w:tcPr>
          <w:p>
            <w:pPr>
              <w:ind w:left="380"/>
              <w:spacing w:after="0"/>
              <w:rPr>
                <w:sz w:val="20"/>
                <w:szCs w:val="20"/>
                <w:color w:val="auto"/>
              </w:rPr>
            </w:pPr>
            <w:r>
              <w:rPr>
                <w:rFonts w:ascii="Arial" w:cs="Arial" w:eastAsia="Arial" w:hAnsi="Arial"/>
                <w:sz w:val="18"/>
                <w:szCs w:val="18"/>
                <w:color w:val="auto"/>
              </w:rPr>
              <w:t>Other operating liabilities</w:t>
            </w:r>
          </w:p>
        </w:tc>
        <w:tc>
          <w:tcPr>
            <w:tcW w:w="1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(119.5 )</w:t>
            </w:r>
          </w:p>
        </w:tc>
        <w:tc>
          <w:tcPr>
            <w:tcW w:w="1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32.9</w:t>
            </w:r>
          </w:p>
        </w:tc>
        <w:tc>
          <w:tcPr>
            <w:tcW w:w="1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36"/>
        </w:trPr>
        <w:tc>
          <w:tcPr>
            <w:tcW w:w="64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1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121.3</w:t>
            </w:r>
          </w:p>
        </w:tc>
        <w:tc>
          <w:tcPr>
            <w:tcW w:w="1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10.2</w:t>
            </w:r>
          </w:p>
        </w:tc>
        <w:tc>
          <w:tcPr>
            <w:tcW w:w="1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122.5</w:t>
            </w:r>
          </w:p>
        </w:tc>
        <w:tc>
          <w:tcPr>
            <w:tcW w:w="0" w:type="dxa"/>
            <w:vAlign w:val="bottom"/>
          </w:tcPr>
          <w:p>
            <w:pPr>
              <w:spacing w:after="0"/>
              <w:rPr>
                <w:sz w:val="1"/>
                <w:szCs w:val="1"/>
                <w:color w:val="auto"/>
              </w:rPr>
            </w:pPr>
          </w:p>
        </w:tc>
      </w:tr>
      <w:tr>
        <w:trPr>
          <w:trHeight w:val="232"/>
        </w:trPr>
        <w:tc>
          <w:tcPr>
            <w:tcW w:w="642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4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Acquisition of property and equipment</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(191.8 )</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(497.6 )</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(140.6 )</w:t>
            </w:r>
          </w:p>
        </w:tc>
        <w:tc>
          <w:tcPr>
            <w:tcW w:w="0" w:type="dxa"/>
            <w:vAlign w:val="bottom"/>
          </w:tcPr>
          <w:p>
            <w:pPr>
              <w:spacing w:after="0"/>
              <w:rPr>
                <w:sz w:val="1"/>
                <w:szCs w:val="1"/>
                <w:color w:val="auto"/>
              </w:rPr>
            </w:pPr>
          </w:p>
        </w:tc>
      </w:tr>
      <w:tr>
        <w:trPr>
          <w:trHeight w:val="236"/>
        </w:trPr>
        <w:tc>
          <w:tcPr>
            <w:tcW w:w="6420" w:type="dxa"/>
            <w:vAlign w:val="bottom"/>
            <w:tcBorders>
              <w:bottom w:val="single" w:sz="8" w:color="CFF0FC"/>
            </w:tcBorders>
          </w:tcPr>
          <w:p>
            <w:pPr>
              <w:ind w:left="200"/>
              <w:spacing w:after="0"/>
              <w:rPr>
                <w:sz w:val="20"/>
                <w:szCs w:val="20"/>
                <w:color w:val="auto"/>
              </w:rPr>
            </w:pPr>
            <w:r>
              <w:rPr>
                <w:rFonts w:ascii="Arial" w:cs="Arial" w:eastAsia="Arial" w:hAnsi="Arial"/>
                <w:sz w:val="18"/>
                <w:szCs w:val="18"/>
                <w:color w:val="auto"/>
              </w:rPr>
              <w:t>Proceeds from disposal of property and equipment</w:t>
            </w:r>
          </w:p>
        </w:tc>
        <w:tc>
          <w:tcPr>
            <w:tcW w:w="160" w:type="dxa"/>
            <w:vAlign w:val="bottom"/>
            <w:tcBorders>
              <w:bottom w:val="single" w:sz="8" w:color="CFF0F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45.7</w:t>
            </w:r>
          </w:p>
        </w:tc>
        <w:tc>
          <w:tcPr>
            <w:tcW w:w="160" w:type="dxa"/>
            <w:vAlign w:val="bottom"/>
            <w:tcBorders>
              <w:bottom w:val="single" w:sz="8" w:color="CFF0F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3.6</w:t>
            </w:r>
          </w:p>
        </w:tc>
        <w:tc>
          <w:tcPr>
            <w:tcW w:w="16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42"/>
        </w:trPr>
        <w:tc>
          <w:tcPr>
            <w:tcW w:w="64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1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(146.1 )</w:t>
            </w:r>
          </w:p>
        </w:tc>
        <w:tc>
          <w:tcPr>
            <w:tcW w:w="1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(494.0 )</w:t>
            </w: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(84.5 )</w:t>
            </w:r>
          </w:p>
        </w:tc>
        <w:tc>
          <w:tcPr>
            <w:tcW w:w="0" w:type="dxa"/>
            <w:vAlign w:val="bottom"/>
          </w:tcPr>
          <w:p>
            <w:pPr>
              <w:spacing w:after="0"/>
              <w:rPr>
                <w:sz w:val="1"/>
                <w:szCs w:val="1"/>
                <w:color w:val="auto"/>
              </w:rPr>
            </w:pPr>
          </w:p>
        </w:tc>
      </w:tr>
      <w:tr>
        <w:trPr>
          <w:trHeight w:val="232"/>
        </w:trPr>
        <w:tc>
          <w:tcPr>
            <w:tcW w:w="6420" w:type="dxa"/>
            <w:vAlign w:val="bottom"/>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4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Issuance of long-term debt, net</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325.2</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374.8</w:t>
            </w:r>
          </w:p>
        </w:tc>
        <w:tc>
          <w:tcPr>
            <w:tcW w:w="0" w:type="dxa"/>
            <w:vAlign w:val="bottom"/>
          </w:tcPr>
          <w:p>
            <w:pPr>
              <w:spacing w:after="0"/>
              <w:rPr>
                <w:sz w:val="1"/>
                <w:szCs w:val="1"/>
                <w:color w:val="auto"/>
              </w:rPr>
            </w:pPr>
          </w:p>
        </w:tc>
      </w:tr>
      <w:tr>
        <w:trPr>
          <w:trHeight w:val="236"/>
        </w:trPr>
        <w:tc>
          <w:tcPr>
            <w:tcW w:w="6420" w:type="dxa"/>
            <w:vAlign w:val="bottom"/>
          </w:tcPr>
          <w:p>
            <w:pPr>
              <w:ind w:left="200"/>
              <w:spacing w:after="0"/>
              <w:rPr>
                <w:sz w:val="20"/>
                <w:szCs w:val="20"/>
                <w:color w:val="auto"/>
              </w:rPr>
            </w:pPr>
            <w:r>
              <w:rPr>
                <w:rFonts w:ascii="Arial" w:cs="Arial" w:eastAsia="Arial" w:hAnsi="Arial"/>
                <w:sz w:val="18"/>
                <w:szCs w:val="18"/>
                <w:color w:val="auto"/>
              </w:rPr>
              <w:t>Repayment of long-term debt</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(48.4 )</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(3.8 )</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(31.4 )</w:t>
            </w:r>
          </w:p>
        </w:tc>
        <w:tc>
          <w:tcPr>
            <w:tcW w:w="0" w:type="dxa"/>
            <w:vAlign w:val="bottom"/>
          </w:tcPr>
          <w:p>
            <w:pPr>
              <w:spacing w:after="0"/>
              <w:rPr>
                <w:sz w:val="1"/>
                <w:szCs w:val="1"/>
                <w:color w:val="auto"/>
              </w:rPr>
            </w:pPr>
          </w:p>
        </w:tc>
      </w:tr>
      <w:tr>
        <w:trPr>
          <w:trHeight w:val="249"/>
        </w:trPr>
        <w:tc>
          <w:tcPr>
            <w:tcW w:w="64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Debt issuance costs</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(1.7 )</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(0.2 )</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(12.0 )</w:t>
            </w:r>
          </w:p>
        </w:tc>
        <w:tc>
          <w:tcPr>
            <w:tcW w:w="0" w:type="dxa"/>
            <w:vAlign w:val="bottom"/>
          </w:tcPr>
          <w:p>
            <w:pPr>
              <w:spacing w:after="0"/>
              <w:rPr>
                <w:sz w:val="1"/>
                <w:szCs w:val="1"/>
                <w:color w:val="auto"/>
              </w:rPr>
            </w:pPr>
          </w:p>
        </w:tc>
      </w:tr>
      <w:tr>
        <w:trPr>
          <w:trHeight w:val="243"/>
        </w:trPr>
        <w:tc>
          <w:tcPr>
            <w:tcW w:w="6420" w:type="dxa"/>
            <w:vAlign w:val="bottom"/>
          </w:tcPr>
          <w:p>
            <w:pPr>
              <w:ind w:left="200"/>
              <w:spacing w:after="0"/>
              <w:rPr>
                <w:sz w:val="20"/>
                <w:szCs w:val="20"/>
                <w:color w:val="auto"/>
              </w:rPr>
            </w:pPr>
            <w:r>
              <w:rPr>
                <w:rFonts w:ascii="Arial" w:cs="Arial" w:eastAsia="Arial" w:hAnsi="Arial"/>
                <w:sz w:val="18"/>
                <w:szCs w:val="18"/>
                <w:color w:val="auto"/>
              </w:rPr>
              <w:t>Payments for tax withheld on equity-based compensation</w:t>
            </w:r>
          </w:p>
        </w:tc>
        <w:tc>
          <w:tcPr>
            <w:tcW w:w="1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(0.9 )</w:t>
            </w:r>
          </w:p>
        </w:tc>
        <w:tc>
          <w:tcPr>
            <w:tcW w:w="1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(0.6 )</w:t>
            </w:r>
          </w:p>
        </w:tc>
        <w:tc>
          <w:tcPr>
            <w:tcW w:w="1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(0.6 )</w:t>
            </w:r>
          </w:p>
        </w:tc>
        <w:tc>
          <w:tcPr>
            <w:tcW w:w="0" w:type="dxa"/>
            <w:vAlign w:val="bottom"/>
          </w:tcPr>
          <w:p>
            <w:pPr>
              <w:spacing w:after="0"/>
              <w:rPr>
                <w:sz w:val="1"/>
                <w:szCs w:val="1"/>
                <w:color w:val="auto"/>
              </w:rPr>
            </w:pPr>
          </w:p>
        </w:tc>
      </w:tr>
      <w:tr>
        <w:trPr>
          <w:trHeight w:val="236"/>
        </w:trPr>
        <w:tc>
          <w:tcPr>
            <w:tcW w:w="64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(51.0 )</w:t>
            </w:r>
          </w:p>
        </w:tc>
        <w:tc>
          <w:tcPr>
            <w:tcW w:w="1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320.6</w:t>
            </w:r>
          </w:p>
        </w:tc>
        <w:tc>
          <w:tcPr>
            <w:tcW w:w="1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330.8</w:t>
            </w:r>
          </w:p>
        </w:tc>
        <w:tc>
          <w:tcPr>
            <w:tcW w:w="0" w:type="dxa"/>
            <w:vAlign w:val="bottom"/>
          </w:tcPr>
          <w:p>
            <w:pPr>
              <w:spacing w:after="0"/>
              <w:rPr>
                <w:sz w:val="1"/>
                <w:szCs w:val="1"/>
                <w:color w:val="auto"/>
              </w:rPr>
            </w:pPr>
          </w:p>
        </w:tc>
      </w:tr>
      <w:tr>
        <w:trPr>
          <w:trHeight w:val="204"/>
        </w:trPr>
        <w:tc>
          <w:tcPr>
            <w:tcW w:w="6420" w:type="dxa"/>
            <w:vAlign w:val="bottom"/>
          </w:tcPr>
          <w:p>
            <w:pPr>
              <w:ind w:left="20"/>
              <w:spacing w:after="0" w:line="204" w:lineRule="exact"/>
              <w:rPr>
                <w:sz w:val="20"/>
                <w:szCs w:val="20"/>
                <w:color w:val="auto"/>
              </w:rPr>
            </w:pPr>
            <w:r>
              <w:rPr>
                <w:rFonts w:ascii="Arial" w:cs="Arial" w:eastAsia="Arial" w:hAnsi="Arial"/>
                <w:sz w:val="18"/>
                <w:szCs w:val="18"/>
                <w:b w:val="1"/>
                <w:bCs w:val="1"/>
                <w:color w:val="auto"/>
                <w:w w:val="93"/>
              </w:rPr>
              <w:t>Net Increase (Decrease) In Cash and Cash Equivalents and Restricted Amounts</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6420" w:type="dxa"/>
            <w:vAlign w:val="bottom"/>
          </w:tcPr>
          <w:p>
            <w:pPr>
              <w:ind w:left="20"/>
              <w:spacing w:after="0"/>
              <w:rPr>
                <w:sz w:val="20"/>
                <w:szCs w:val="20"/>
                <w:color w:val="auto"/>
              </w:rPr>
            </w:pPr>
            <w:r>
              <w:rPr>
                <w:rFonts w:ascii="Arial" w:cs="Arial" w:eastAsia="Arial" w:hAnsi="Arial"/>
                <w:sz w:val="18"/>
                <w:szCs w:val="18"/>
                <w:b w:val="1"/>
                <w:bCs w:val="1"/>
                <w:color w:val="auto"/>
              </w:rPr>
              <w:t>Held in Escrow</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(75.8 )</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(163.2 )</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368.8</w:t>
            </w:r>
          </w:p>
        </w:tc>
        <w:tc>
          <w:tcPr>
            <w:tcW w:w="0" w:type="dxa"/>
            <w:vAlign w:val="bottom"/>
          </w:tcPr>
          <w:p>
            <w:pPr>
              <w:spacing w:after="0"/>
              <w:rPr>
                <w:sz w:val="1"/>
                <w:szCs w:val="1"/>
                <w:color w:val="auto"/>
              </w:rPr>
            </w:pPr>
          </w:p>
        </w:tc>
      </w:tr>
      <w:tr>
        <w:trPr>
          <w:trHeight w:val="218"/>
        </w:trPr>
        <w:tc>
          <w:tcPr>
            <w:tcW w:w="64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w w:val="90"/>
              </w:rPr>
              <w:t>Cash and Cash Equivalents and Restricted Amounts Held in Escrow, Beginning of</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vMerge w:val="restart"/>
            <w:shd w:val="clear" w:color="auto" w:fill="CFF0FC"/>
          </w:tcPr>
          <w:p>
            <w:pPr>
              <w:jc w:val="right"/>
              <w:ind w:right="51"/>
              <w:spacing w:after="0"/>
              <w:rPr>
                <w:sz w:val="20"/>
                <w:szCs w:val="20"/>
                <w:color w:val="auto"/>
              </w:rPr>
            </w:pPr>
            <w:r>
              <w:rPr>
                <w:rFonts w:ascii="Arial" w:cs="Arial" w:eastAsia="Arial" w:hAnsi="Arial"/>
                <w:sz w:val="18"/>
                <w:szCs w:val="18"/>
                <w:color w:val="auto"/>
              </w:rPr>
              <w:t>314.8</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vMerge w:val="restart"/>
            <w:shd w:val="clear" w:color="auto" w:fill="CFF0FC"/>
          </w:tcPr>
          <w:p>
            <w:pPr>
              <w:jc w:val="right"/>
              <w:ind w:right="31"/>
              <w:spacing w:after="0"/>
              <w:rPr>
                <w:sz w:val="20"/>
                <w:szCs w:val="20"/>
                <w:color w:val="auto"/>
              </w:rPr>
            </w:pPr>
            <w:r>
              <w:rPr>
                <w:rFonts w:ascii="Arial" w:cs="Arial" w:eastAsia="Arial" w:hAnsi="Arial"/>
                <w:sz w:val="18"/>
                <w:szCs w:val="18"/>
                <w:color w:val="auto"/>
              </w:rPr>
              <w:t>478.0</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vMerge w:val="restart"/>
            <w:shd w:val="clear" w:color="auto" w:fill="CFF0FC"/>
          </w:tcPr>
          <w:p>
            <w:pPr>
              <w:jc w:val="right"/>
              <w:ind w:right="31"/>
              <w:spacing w:after="0"/>
              <w:rPr>
                <w:sz w:val="20"/>
                <w:szCs w:val="20"/>
                <w:color w:val="auto"/>
              </w:rPr>
            </w:pPr>
            <w:r>
              <w:rPr>
                <w:rFonts w:ascii="Arial" w:cs="Arial" w:eastAsia="Arial" w:hAnsi="Arial"/>
                <w:sz w:val="18"/>
                <w:szCs w:val="18"/>
                <w:color w:val="auto"/>
              </w:rPr>
              <w:t>109.2</w:t>
            </w:r>
          </w:p>
        </w:tc>
        <w:tc>
          <w:tcPr>
            <w:tcW w:w="0" w:type="dxa"/>
            <w:vAlign w:val="bottom"/>
          </w:tcPr>
          <w:p>
            <w:pPr>
              <w:spacing w:after="0"/>
              <w:rPr>
                <w:sz w:val="1"/>
                <w:szCs w:val="1"/>
                <w:color w:val="auto"/>
              </w:rPr>
            </w:pPr>
          </w:p>
        </w:tc>
      </w:tr>
      <w:tr>
        <w:trPr>
          <w:trHeight w:val="234"/>
        </w:trPr>
        <w:tc>
          <w:tcPr>
            <w:tcW w:w="6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Period</w:t>
            </w:r>
          </w:p>
        </w:tc>
        <w:tc>
          <w:tcPr>
            <w:tcW w:w="1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vMerge w:val="continue"/>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vMerge w:val="continue"/>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6420" w:type="dxa"/>
            <w:vAlign w:val="bottom"/>
          </w:tcPr>
          <w:p>
            <w:pPr>
              <w:ind w:left="20"/>
              <w:spacing w:after="0" w:line="204" w:lineRule="exact"/>
              <w:rPr>
                <w:sz w:val="20"/>
                <w:szCs w:val="20"/>
                <w:color w:val="auto"/>
              </w:rPr>
            </w:pPr>
            <w:r>
              <w:rPr>
                <w:rFonts w:ascii="Arial" w:cs="Arial" w:eastAsia="Arial" w:hAnsi="Arial"/>
                <w:sz w:val="18"/>
                <w:szCs w:val="18"/>
                <w:b w:val="1"/>
                <w:bCs w:val="1"/>
                <w:color w:val="auto"/>
                <w:w w:val="98"/>
              </w:rPr>
              <w:t>Cash and Cash Equivalents and Restricted Amounts Held in Escrow, End of</w:t>
            </w:r>
          </w:p>
        </w:tc>
        <w:tc>
          <w:tcPr>
            <w:tcW w:w="4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vMerge w:val="restart"/>
          </w:tcPr>
          <w:p>
            <w:pPr>
              <w:jc w:val="right"/>
              <w:ind w:right="51"/>
              <w:spacing w:after="0"/>
              <w:rPr>
                <w:sz w:val="20"/>
                <w:szCs w:val="20"/>
                <w:color w:val="auto"/>
              </w:rPr>
            </w:pPr>
            <w:r>
              <w:rPr>
                <w:rFonts w:ascii="Arial" w:cs="Arial" w:eastAsia="Arial" w:hAnsi="Arial"/>
                <w:sz w:val="18"/>
                <w:szCs w:val="18"/>
                <w:color w:val="auto"/>
              </w:rPr>
              <w:t>239.0</w:t>
            </w:r>
          </w:p>
        </w:tc>
        <w:tc>
          <w:tcPr>
            <w:tcW w:w="4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ind w:right="31"/>
              <w:spacing w:after="0"/>
              <w:rPr>
                <w:sz w:val="20"/>
                <w:szCs w:val="20"/>
                <w:color w:val="auto"/>
              </w:rPr>
            </w:pPr>
            <w:r>
              <w:rPr>
                <w:rFonts w:ascii="Arial" w:cs="Arial" w:eastAsia="Arial" w:hAnsi="Arial"/>
                <w:sz w:val="18"/>
                <w:szCs w:val="18"/>
                <w:color w:val="auto"/>
              </w:rPr>
              <w:t>314.8</w:t>
            </w:r>
          </w:p>
        </w:tc>
        <w:tc>
          <w:tcPr>
            <w:tcW w:w="4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ind w:right="31"/>
              <w:spacing w:after="0"/>
              <w:rPr>
                <w:sz w:val="20"/>
                <w:szCs w:val="20"/>
                <w:color w:val="auto"/>
              </w:rPr>
            </w:pPr>
            <w:r>
              <w:rPr>
                <w:rFonts w:ascii="Arial" w:cs="Arial" w:eastAsia="Arial" w:hAnsi="Arial"/>
                <w:sz w:val="18"/>
                <w:szCs w:val="18"/>
                <w:color w:val="auto"/>
              </w:rPr>
              <w:t>478.0</w:t>
            </w:r>
          </w:p>
        </w:tc>
        <w:tc>
          <w:tcPr>
            <w:tcW w:w="0" w:type="dxa"/>
            <w:vAlign w:val="bottom"/>
          </w:tcPr>
          <w:p>
            <w:pPr>
              <w:spacing w:after="0"/>
              <w:rPr>
                <w:sz w:val="1"/>
                <w:szCs w:val="1"/>
                <w:color w:val="auto"/>
              </w:rPr>
            </w:pPr>
          </w:p>
        </w:tc>
      </w:tr>
      <w:tr>
        <w:trPr>
          <w:trHeight w:val="207"/>
        </w:trPr>
        <w:tc>
          <w:tcPr>
            <w:tcW w:w="6420" w:type="dxa"/>
            <w:vAlign w:val="bottom"/>
          </w:tcPr>
          <w:p>
            <w:pPr>
              <w:ind w:left="20"/>
              <w:spacing w:after="0"/>
              <w:rPr>
                <w:sz w:val="20"/>
                <w:szCs w:val="20"/>
                <w:color w:val="auto"/>
              </w:rPr>
            </w:pPr>
            <w:r>
              <w:rPr>
                <w:rFonts w:ascii="Arial" w:cs="Arial" w:eastAsia="Arial" w:hAnsi="Arial"/>
                <w:sz w:val="18"/>
                <w:szCs w:val="18"/>
                <w:b w:val="1"/>
                <w:bCs w:val="1"/>
                <w:color w:val="auto"/>
              </w:rPr>
              <w:t>Period</w:t>
            </w:r>
          </w:p>
        </w:tc>
        <w:tc>
          <w:tcPr>
            <w:tcW w:w="480" w:type="dxa"/>
            <w:vAlign w:val="bottom"/>
            <w:gridSpan w:val="2"/>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4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Supplemental Cash Flow Information:</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420" w:type="dxa"/>
            <w:vAlign w:val="bottom"/>
          </w:tcPr>
          <w:p>
            <w:pPr>
              <w:ind w:left="200"/>
              <w:spacing w:after="0"/>
              <w:rPr>
                <w:sz w:val="20"/>
                <w:szCs w:val="20"/>
                <w:color w:val="auto"/>
              </w:rPr>
            </w:pPr>
            <w:r>
              <w:rPr>
                <w:rFonts w:ascii="Arial" w:cs="Arial" w:eastAsia="Arial" w:hAnsi="Arial"/>
                <w:sz w:val="18"/>
                <w:szCs w:val="18"/>
                <w:color w:val="auto"/>
              </w:rPr>
              <w:t>Interest paid</w:t>
            </w: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(127.4 )</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(116.8 )</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(67.6 )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5116830</wp:posOffset>
            </wp:positionH>
            <wp:positionV relativeFrom="paragraph">
              <wp:posOffset>-2894330</wp:posOffset>
            </wp:positionV>
            <wp:extent cx="102870" cy="1625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02870" cy="162560"/>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-2894330</wp:posOffset>
            </wp:positionV>
            <wp:extent cx="93980" cy="1625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-2435860</wp:posOffset>
            </wp:positionV>
            <wp:extent cx="7132320" cy="3378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337820"/>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-1318260</wp:posOffset>
            </wp:positionV>
            <wp:extent cx="102870" cy="2997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02870" cy="299720"/>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-1318260</wp:posOffset>
            </wp:positionV>
            <wp:extent cx="93980" cy="2997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93980" cy="299720"/>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-736600</wp:posOffset>
            </wp:positionV>
            <wp:extent cx="102870" cy="2997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02870" cy="299720"/>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-736600</wp:posOffset>
            </wp:positionV>
            <wp:extent cx="93980" cy="2997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93980" cy="299720"/>
                    </a:xfrm>
                    <a:prstGeom prst="rect">
                      <a:avLst/>
                    </a:prstGeom>
                    <a:noFill/>
                  </pic:spPr>
                </pic:pic>
              </a:graphicData>
            </a:graphic>
          </wp:anchor>
        </w:drawing>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color w:val="auto"/>
        </w:rPr>
        <w:t>CONSOLIDATED STATEMENTS OF SHAREHOLDERS’ DEFICIT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Yellow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Years Ended December 31</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15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restart"/>
          </w:tcPr>
          <w:p>
            <w:pPr>
              <w:jc w:val="center"/>
              <w:ind w:right="161"/>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3640" w:type="dxa"/>
            <w:vAlign w:val="bottom"/>
          </w:tcPr>
          <w:p>
            <w:pPr>
              <w:spacing w:after="0"/>
              <w:rPr>
                <w:sz w:val="12"/>
                <w:szCs w:val="12"/>
                <w:color w:val="auto"/>
              </w:rPr>
            </w:pPr>
          </w:p>
        </w:tc>
        <w:tc>
          <w:tcPr>
            <w:tcW w:w="6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9"/>
              </w:rPr>
              <w:t>Preferred</w:t>
            </w:r>
          </w:p>
        </w:tc>
        <w:tc>
          <w:tcPr>
            <w:tcW w:w="140" w:type="dxa"/>
            <w:vAlign w:val="bottom"/>
          </w:tcPr>
          <w:p>
            <w:pPr>
              <w:spacing w:after="0"/>
              <w:rPr>
                <w:sz w:val="12"/>
                <w:szCs w:val="12"/>
                <w:color w:val="auto"/>
              </w:rPr>
            </w:pPr>
          </w:p>
        </w:tc>
        <w:tc>
          <w:tcPr>
            <w:tcW w:w="5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Commo</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170"/>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1000" w:type="dxa"/>
            <w:vAlign w:val="bottom"/>
            <w:gridSpan w:val="3"/>
            <w:vMerge w:val="restart"/>
          </w:tcPr>
          <w:p>
            <w:pPr>
              <w:jc w:val="right"/>
              <w:ind w:right="310"/>
              <w:spacing w:after="0"/>
              <w:rPr>
                <w:sz w:val="20"/>
                <w:szCs w:val="20"/>
                <w:color w:val="auto"/>
              </w:rPr>
            </w:pPr>
            <w:r>
              <w:rPr>
                <w:rFonts w:ascii="Arial" w:cs="Arial" w:eastAsia="Arial" w:hAnsi="Arial"/>
                <w:sz w:val="14"/>
                <w:szCs w:val="14"/>
                <w:b w:val="1"/>
                <w:bCs w:val="1"/>
                <w:color w:val="auto"/>
                <w:w w:val="97"/>
              </w:rPr>
              <w:t>Treasury</w:t>
            </w: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4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3"/>
          </w:tcPr>
          <w:p>
            <w:pPr>
              <w:jc w:val="center"/>
              <w:ind w:right="7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100" w:type="dxa"/>
            <w:vAlign w:val="bottom"/>
            <w:gridSpan w:val="2"/>
          </w:tcPr>
          <w:p>
            <w:pPr>
              <w:jc w:val="center"/>
              <w:ind w:right="161"/>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85"/>
        </w:trPr>
        <w:tc>
          <w:tcPr>
            <w:tcW w:w="364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6"/>
                <w:szCs w:val="16"/>
                <w:color w:val="auto"/>
              </w:rPr>
            </w:pPr>
          </w:p>
        </w:tc>
        <w:tc>
          <w:tcPr>
            <w:tcW w:w="520" w:type="dxa"/>
            <w:vAlign w:val="bottom"/>
          </w:tcPr>
          <w:p>
            <w:pPr>
              <w:ind w:left="20"/>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6"/>
                <w:szCs w:val="16"/>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n Stock</w:t>
            </w:r>
          </w:p>
        </w:tc>
        <w:tc>
          <w:tcPr>
            <w:tcW w:w="120" w:type="dxa"/>
            <w:vAlign w:val="bottom"/>
          </w:tcPr>
          <w:p>
            <w:pPr>
              <w:spacing w:after="0"/>
              <w:rPr>
                <w:sz w:val="16"/>
                <w:szCs w:val="16"/>
                <w:color w:val="auto"/>
              </w:rPr>
            </w:pPr>
          </w:p>
        </w:tc>
        <w:tc>
          <w:tcPr>
            <w:tcW w:w="114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9"/>
              </w:rPr>
              <w:t>Capital Surplus</w:t>
            </w:r>
          </w:p>
        </w:tc>
        <w:tc>
          <w:tcPr>
            <w:tcW w:w="100" w:type="dxa"/>
            <w:vAlign w:val="bottom"/>
          </w:tcPr>
          <w:p>
            <w:pPr>
              <w:spacing w:after="0"/>
              <w:rPr>
                <w:sz w:val="16"/>
                <w:szCs w:val="16"/>
                <w:color w:val="auto"/>
              </w:rPr>
            </w:pPr>
          </w:p>
        </w:tc>
        <w:tc>
          <w:tcPr>
            <w:tcW w:w="1560" w:type="dxa"/>
            <w:vAlign w:val="bottom"/>
            <w:gridSpan w:val="4"/>
          </w:tcPr>
          <w:p>
            <w:pPr>
              <w:jc w:val="right"/>
              <w:ind w:right="175"/>
              <w:spacing w:after="0"/>
              <w:rPr>
                <w:sz w:val="20"/>
                <w:szCs w:val="20"/>
                <w:color w:val="auto"/>
              </w:rPr>
            </w:pPr>
            <w:r>
              <w:rPr>
                <w:rFonts w:ascii="Arial" w:cs="Arial" w:eastAsia="Arial" w:hAnsi="Arial"/>
                <w:sz w:val="14"/>
                <w:szCs w:val="14"/>
                <w:b w:val="1"/>
                <w:bCs w:val="1"/>
                <w:color w:val="auto"/>
                <w:w w:val="95"/>
              </w:rPr>
              <w:t>Accumulated Deficit</w:t>
            </w:r>
          </w:p>
        </w:tc>
        <w:tc>
          <w:tcPr>
            <w:tcW w:w="1100" w:type="dxa"/>
            <w:vAlign w:val="bottom"/>
            <w:gridSpan w:val="2"/>
          </w:tcPr>
          <w:p>
            <w:pPr>
              <w:jc w:val="center"/>
              <w:ind w:right="130"/>
              <w:spacing w:after="0"/>
              <w:rPr>
                <w:sz w:val="20"/>
                <w:szCs w:val="20"/>
                <w:color w:val="auto"/>
              </w:rPr>
            </w:pPr>
            <w:r>
              <w:rPr>
                <w:rFonts w:ascii="Arial" w:cs="Arial" w:eastAsia="Arial" w:hAnsi="Arial"/>
                <w:sz w:val="14"/>
                <w:szCs w:val="14"/>
                <w:b w:val="1"/>
                <w:bCs w:val="1"/>
                <w:color w:val="auto"/>
                <w:w w:val="85"/>
              </w:rPr>
              <w:t>Loss</w:t>
            </w:r>
          </w:p>
        </w:tc>
        <w:tc>
          <w:tcPr>
            <w:tcW w:w="1120" w:type="dxa"/>
            <w:vAlign w:val="bottom"/>
            <w:gridSpan w:val="4"/>
          </w:tcPr>
          <w:p>
            <w:pPr>
              <w:ind w:left="20"/>
              <w:spacing w:after="0"/>
              <w:rPr>
                <w:sz w:val="20"/>
                <w:szCs w:val="20"/>
                <w:color w:val="auto"/>
              </w:rPr>
            </w:pPr>
            <w:r>
              <w:rPr>
                <w:rFonts w:ascii="Arial" w:cs="Arial" w:eastAsia="Arial" w:hAnsi="Arial"/>
                <w:sz w:val="14"/>
                <w:szCs w:val="14"/>
                <w:b w:val="1"/>
                <w:bCs w:val="1"/>
                <w:color w:val="auto"/>
              </w:rPr>
              <w:t>Stock, At Cost</w:t>
            </w:r>
          </w:p>
        </w:tc>
        <w:tc>
          <w:tcPr>
            <w:tcW w:w="1100" w:type="dxa"/>
            <w:vAlign w:val="bottom"/>
            <w:gridSpan w:val="2"/>
          </w:tcPr>
          <w:p>
            <w:pPr>
              <w:jc w:val="center"/>
              <w:ind w:right="141"/>
              <w:spacing w:after="0"/>
              <w:rPr>
                <w:sz w:val="20"/>
                <w:szCs w:val="20"/>
                <w:color w:val="auto"/>
              </w:rPr>
            </w:pPr>
            <w:r>
              <w:rPr>
                <w:rFonts w:ascii="Arial" w:cs="Arial" w:eastAsia="Arial" w:hAnsi="Arial"/>
                <w:sz w:val="14"/>
                <w:szCs w:val="14"/>
                <w:b w:val="1"/>
                <w:bCs w:val="1"/>
                <w:color w:val="auto"/>
                <w:w w:val="93"/>
              </w:rPr>
              <w:t>Deficit</w:t>
            </w:r>
          </w:p>
        </w:tc>
        <w:tc>
          <w:tcPr>
            <w:tcW w:w="0" w:type="dxa"/>
            <w:vAlign w:val="bottom"/>
          </w:tcPr>
          <w:p>
            <w:pPr>
              <w:spacing w:after="0"/>
              <w:rPr>
                <w:sz w:val="1"/>
                <w:szCs w:val="1"/>
                <w:color w:val="auto"/>
              </w:rPr>
            </w:pPr>
          </w:p>
        </w:tc>
      </w:tr>
      <w:tr>
        <w:trPr>
          <w:trHeight w:val="236"/>
        </w:trPr>
        <w:tc>
          <w:tcPr>
            <w:tcW w:w="36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Balances at December 31, 2019</w:t>
            </w:r>
          </w:p>
        </w:tc>
        <w:tc>
          <w:tcPr>
            <w:tcW w:w="14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FF0FC"/>
          </w:tcPr>
          <w:p>
            <w:pPr>
              <w:ind w:left="340"/>
              <w:spacing w:after="0"/>
              <w:rPr>
                <w:sz w:val="20"/>
                <w:szCs w:val="20"/>
                <w:color w:val="auto"/>
              </w:rPr>
            </w:pPr>
            <w:r>
              <w:rPr>
                <w:rFonts w:ascii="Arial" w:cs="Arial" w:eastAsia="Arial" w:hAnsi="Arial"/>
                <w:sz w:val="18"/>
                <w:szCs w:val="18"/>
                <w:color w:val="auto"/>
                <w:w w:val="88"/>
              </w:rPr>
              <w:t>—</w:t>
            </w:r>
          </w:p>
        </w:tc>
        <w:tc>
          <w:tcPr>
            <w:tcW w:w="14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jc w:val="right"/>
              <w:ind w:right="154"/>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2,332.9</w:t>
            </w:r>
          </w:p>
        </w:tc>
        <w:tc>
          <w:tcPr>
            <w:tcW w:w="100" w:type="dxa"/>
            <w:vAlign w:val="bottom"/>
            <w:shd w:val="clear" w:color="auto" w:fill="CFF0FC"/>
          </w:tcPr>
          <w:p>
            <w:pPr>
              <w:spacing w:after="0"/>
              <w:rPr>
                <w:sz w:val="20"/>
                <w:szCs w:val="20"/>
                <w:color w:val="auto"/>
              </w:rPr>
            </w:pPr>
          </w:p>
        </w:tc>
        <w:tc>
          <w:tcPr>
            <w:tcW w:w="420" w:type="dxa"/>
            <w:vAlign w:val="bottom"/>
            <w:tcBorders>
              <w:top w:val="single" w:sz="8" w:color="auto"/>
            </w:tcBorders>
            <w:shd w:val="clear" w:color="auto" w:fill="CFF0FC"/>
          </w:tcPr>
          <w:p>
            <w:pPr>
              <w:jc w:val="right"/>
              <w:ind w:right="234"/>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(2,312.4</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(369.3</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(92.7</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(441.2</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6"/>
        </w:trPr>
        <w:tc>
          <w:tcPr>
            <w:tcW w:w="3640" w:type="dxa"/>
            <w:vAlign w:val="bottom"/>
          </w:tcPr>
          <w:p>
            <w:pPr>
              <w:ind w:left="20"/>
              <w:spacing w:after="0"/>
              <w:rPr>
                <w:sz w:val="20"/>
                <w:szCs w:val="20"/>
                <w:color w:val="auto"/>
              </w:rPr>
            </w:pPr>
            <w:r>
              <w:rPr>
                <w:rFonts w:ascii="Arial" w:cs="Arial" w:eastAsia="Arial" w:hAnsi="Arial"/>
                <w:sz w:val="18"/>
                <w:szCs w:val="18"/>
                <w:color w:val="auto"/>
              </w:rPr>
              <w:t>Equity-based compensation</w:t>
            </w:r>
          </w:p>
        </w:tc>
        <w:tc>
          <w:tcPr>
            <w:tcW w:w="140" w:type="dxa"/>
            <w:vAlign w:val="bottom"/>
          </w:tcPr>
          <w:p>
            <w:pPr>
              <w:spacing w:after="0"/>
              <w:rPr>
                <w:sz w:val="20"/>
                <w:szCs w:val="20"/>
                <w:color w:val="auto"/>
              </w:rPr>
            </w:pPr>
          </w:p>
        </w:tc>
        <w:tc>
          <w:tcPr>
            <w:tcW w:w="520" w:type="dxa"/>
            <w:vAlign w:val="bottom"/>
          </w:tcPr>
          <w:p>
            <w:pPr>
              <w:ind w:left="34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gridSpan w:val="3"/>
          </w:tcPr>
          <w:p>
            <w:pPr>
              <w:jc w:val="right"/>
              <w:ind w:right="13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Equity issuance - UST commitment fee</w:t>
            </w:r>
          </w:p>
        </w:tc>
        <w:tc>
          <w:tcPr>
            <w:tcW w:w="140" w:type="dxa"/>
            <w:vAlign w:val="bottom"/>
            <w:shd w:val="clear" w:color="auto" w:fill="CFF0FC"/>
          </w:tcPr>
          <w:p>
            <w:pPr>
              <w:spacing w:after="0"/>
              <w:rPr>
                <w:sz w:val="21"/>
                <w:szCs w:val="21"/>
                <w:color w:val="auto"/>
              </w:rPr>
            </w:pPr>
          </w:p>
        </w:tc>
        <w:tc>
          <w:tcPr>
            <w:tcW w:w="520" w:type="dxa"/>
            <w:vAlign w:val="bottom"/>
            <w:shd w:val="clear" w:color="auto" w:fill="CFF0FC"/>
          </w:tcPr>
          <w:p>
            <w:pPr>
              <w:ind w:left="340"/>
              <w:spacing w:after="0"/>
              <w:rPr>
                <w:sz w:val="20"/>
                <w:szCs w:val="20"/>
                <w:color w:val="auto"/>
              </w:rPr>
            </w:pPr>
            <w:r>
              <w:rPr>
                <w:rFonts w:ascii="Arial" w:cs="Arial" w:eastAsia="Arial" w:hAnsi="Arial"/>
                <w:sz w:val="18"/>
                <w:szCs w:val="18"/>
                <w:color w:val="auto"/>
                <w:w w:val="88"/>
              </w:rPr>
              <w:t>—</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w:t>
            </w:r>
          </w:p>
        </w:tc>
        <w:tc>
          <w:tcPr>
            <w:tcW w:w="1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40" w:type="dxa"/>
            <w:vAlign w:val="bottom"/>
            <w:gridSpan w:val="3"/>
            <w:shd w:val="clear" w:color="auto" w:fill="CFF0FC"/>
          </w:tcPr>
          <w:p>
            <w:pPr>
              <w:jc w:val="right"/>
              <w:ind w:right="13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000" w:type="dxa"/>
            <w:vAlign w:val="bottom"/>
            <w:gridSpan w:val="3"/>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640" w:type="dxa"/>
            <w:vAlign w:val="bottom"/>
          </w:tcPr>
          <w:p>
            <w:pPr>
              <w:ind w:left="20"/>
              <w:spacing w:after="0"/>
              <w:rPr>
                <w:sz w:val="20"/>
                <w:szCs w:val="20"/>
                <w:color w:val="auto"/>
              </w:rPr>
            </w:pPr>
            <w:r>
              <w:rPr>
                <w:rFonts w:ascii="Arial" w:cs="Arial" w:eastAsia="Arial" w:hAnsi="Arial"/>
                <w:sz w:val="18"/>
                <w:szCs w:val="18"/>
                <w:color w:val="auto"/>
              </w:rPr>
              <w:t>Net loss</w:t>
            </w:r>
          </w:p>
        </w:tc>
        <w:tc>
          <w:tcPr>
            <w:tcW w:w="140" w:type="dxa"/>
            <w:vAlign w:val="bottom"/>
          </w:tcPr>
          <w:p>
            <w:pPr>
              <w:spacing w:after="0"/>
              <w:rPr>
                <w:sz w:val="20"/>
                <w:szCs w:val="20"/>
                <w:color w:val="auto"/>
              </w:rPr>
            </w:pPr>
          </w:p>
        </w:tc>
        <w:tc>
          <w:tcPr>
            <w:tcW w:w="520" w:type="dxa"/>
            <w:vAlign w:val="bottom"/>
          </w:tcPr>
          <w:p>
            <w:pPr>
              <w:ind w:left="34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(53.5 )</w:t>
            </w:r>
          </w:p>
        </w:tc>
        <w:tc>
          <w:tcPr>
            <w:tcW w:w="100" w:type="dxa"/>
            <w:vAlign w:val="bottom"/>
          </w:tcPr>
          <w:p>
            <w:pPr>
              <w:spacing w:after="0"/>
              <w:rPr>
                <w:sz w:val="20"/>
                <w:szCs w:val="20"/>
                <w:color w:val="auto"/>
              </w:rPr>
            </w:pPr>
          </w:p>
        </w:tc>
        <w:tc>
          <w:tcPr>
            <w:tcW w:w="11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(53.5 )</w:t>
            </w:r>
          </w:p>
        </w:tc>
        <w:tc>
          <w:tcPr>
            <w:tcW w:w="0" w:type="dxa"/>
            <w:vAlign w:val="bottom"/>
          </w:tcPr>
          <w:p>
            <w:pPr>
              <w:spacing w:after="0"/>
              <w:rPr>
                <w:sz w:val="1"/>
                <w:szCs w:val="1"/>
                <w:color w:val="auto"/>
              </w:rPr>
            </w:pPr>
          </w:p>
        </w:tc>
      </w:tr>
      <w:tr>
        <w:trPr>
          <w:trHeight w:val="249"/>
        </w:trPr>
        <w:tc>
          <w:tcPr>
            <w:tcW w:w="3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Pension, net of tax:</w:t>
            </w:r>
          </w:p>
        </w:tc>
        <w:tc>
          <w:tcPr>
            <w:tcW w:w="14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640" w:type="dxa"/>
            <w:vAlign w:val="bottom"/>
          </w:tcPr>
          <w:p>
            <w:pPr>
              <w:ind w:left="120"/>
              <w:spacing w:after="0"/>
              <w:rPr>
                <w:sz w:val="20"/>
                <w:szCs w:val="20"/>
                <w:color w:val="auto"/>
              </w:rPr>
            </w:pPr>
            <w:r>
              <w:rPr>
                <w:rFonts w:ascii="Arial" w:cs="Arial" w:eastAsia="Arial" w:hAnsi="Arial"/>
                <w:sz w:val="18"/>
                <w:szCs w:val="18"/>
                <w:color w:val="auto"/>
              </w:rPr>
              <w:t>Amortization of prior net losses</w:t>
            </w:r>
          </w:p>
        </w:tc>
        <w:tc>
          <w:tcPr>
            <w:tcW w:w="140" w:type="dxa"/>
            <w:vAlign w:val="bottom"/>
          </w:tcPr>
          <w:p>
            <w:pPr>
              <w:spacing w:after="0"/>
              <w:rPr>
                <w:sz w:val="20"/>
                <w:szCs w:val="20"/>
                <w:color w:val="auto"/>
              </w:rPr>
            </w:pPr>
          </w:p>
        </w:tc>
        <w:tc>
          <w:tcPr>
            <w:tcW w:w="520" w:type="dxa"/>
            <w:vAlign w:val="bottom"/>
          </w:tcPr>
          <w:p>
            <w:pPr>
              <w:ind w:left="34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gridSpan w:val="3"/>
          </w:tcPr>
          <w:p>
            <w:pPr>
              <w:jc w:val="right"/>
              <w:ind w:right="135"/>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6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Amortization of prior service credit</w:t>
            </w:r>
          </w:p>
        </w:tc>
        <w:tc>
          <w:tcPr>
            <w:tcW w:w="140" w:type="dxa"/>
            <w:vAlign w:val="bottom"/>
            <w:shd w:val="clear" w:color="auto" w:fill="CFF0FC"/>
          </w:tcPr>
          <w:p>
            <w:pPr>
              <w:spacing w:after="0"/>
              <w:rPr>
                <w:sz w:val="21"/>
                <w:szCs w:val="21"/>
                <w:color w:val="auto"/>
              </w:rPr>
            </w:pPr>
          </w:p>
        </w:tc>
        <w:tc>
          <w:tcPr>
            <w:tcW w:w="520" w:type="dxa"/>
            <w:vAlign w:val="bottom"/>
            <w:shd w:val="clear" w:color="auto" w:fill="CFF0FC"/>
          </w:tcPr>
          <w:p>
            <w:pPr>
              <w:ind w:left="340"/>
              <w:spacing w:after="0"/>
              <w:rPr>
                <w:sz w:val="20"/>
                <w:szCs w:val="20"/>
                <w:color w:val="auto"/>
              </w:rPr>
            </w:pPr>
            <w:r>
              <w:rPr>
                <w:rFonts w:ascii="Arial" w:cs="Arial" w:eastAsia="Arial" w:hAnsi="Arial"/>
                <w:sz w:val="18"/>
                <w:szCs w:val="18"/>
                <w:color w:val="auto"/>
                <w:w w:val="88"/>
              </w:rPr>
              <w:t>—</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40" w:type="dxa"/>
            <w:vAlign w:val="bottom"/>
            <w:gridSpan w:val="3"/>
            <w:shd w:val="clear" w:color="auto" w:fill="CFF0FC"/>
          </w:tcPr>
          <w:p>
            <w:pPr>
              <w:jc w:val="right"/>
              <w:ind w:right="13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(0.4 )</w:t>
            </w:r>
          </w:p>
        </w:tc>
        <w:tc>
          <w:tcPr>
            <w:tcW w:w="120" w:type="dxa"/>
            <w:vAlign w:val="bottom"/>
            <w:shd w:val="clear" w:color="auto" w:fill="CFF0FC"/>
          </w:tcPr>
          <w:p>
            <w:pPr>
              <w:spacing w:after="0"/>
              <w:rPr>
                <w:sz w:val="21"/>
                <w:szCs w:val="21"/>
                <w:color w:val="auto"/>
              </w:rPr>
            </w:pPr>
          </w:p>
        </w:tc>
        <w:tc>
          <w:tcPr>
            <w:tcW w:w="1000" w:type="dxa"/>
            <w:vAlign w:val="bottom"/>
            <w:gridSpan w:val="3"/>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(0.4 )</w:t>
            </w:r>
          </w:p>
        </w:tc>
        <w:tc>
          <w:tcPr>
            <w:tcW w:w="0" w:type="dxa"/>
            <w:vAlign w:val="bottom"/>
          </w:tcPr>
          <w:p>
            <w:pPr>
              <w:spacing w:after="0"/>
              <w:rPr>
                <w:sz w:val="1"/>
                <w:szCs w:val="1"/>
                <w:color w:val="auto"/>
              </w:rPr>
            </w:pPr>
          </w:p>
        </w:tc>
      </w:tr>
      <w:tr>
        <w:trPr>
          <w:trHeight w:val="236"/>
        </w:trPr>
        <w:tc>
          <w:tcPr>
            <w:tcW w:w="3640" w:type="dxa"/>
            <w:vAlign w:val="bottom"/>
          </w:tcPr>
          <w:p>
            <w:pPr>
              <w:ind w:left="120"/>
              <w:spacing w:after="0"/>
              <w:rPr>
                <w:sz w:val="20"/>
                <w:szCs w:val="20"/>
                <w:color w:val="auto"/>
              </w:rPr>
            </w:pPr>
            <w:r>
              <w:rPr>
                <w:rFonts w:ascii="Arial" w:cs="Arial" w:eastAsia="Arial" w:hAnsi="Arial"/>
                <w:sz w:val="18"/>
                <w:szCs w:val="18"/>
                <w:color w:val="auto"/>
              </w:rPr>
              <w:t>Settlement adjustment</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6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Net actuarial gain</w:t>
            </w:r>
          </w:p>
        </w:tc>
        <w:tc>
          <w:tcPr>
            <w:tcW w:w="14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204.6</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640" w:type="dxa"/>
            <w:vAlign w:val="bottom"/>
          </w:tcPr>
          <w:p>
            <w:pPr>
              <w:ind w:left="20"/>
              <w:spacing w:after="0"/>
              <w:rPr>
                <w:sz w:val="20"/>
                <w:szCs w:val="20"/>
                <w:color w:val="auto"/>
              </w:rPr>
            </w:pPr>
            <w:r>
              <w:rPr>
                <w:rFonts w:ascii="Arial" w:cs="Arial" w:eastAsia="Arial" w:hAnsi="Arial"/>
                <w:sz w:val="18"/>
                <w:szCs w:val="18"/>
                <w:color w:val="auto"/>
              </w:rPr>
              <w:t>Foreign currency translation, net of tax</w:t>
            </w:r>
          </w:p>
        </w:tc>
        <w:tc>
          <w:tcPr>
            <w:tcW w:w="140" w:type="dxa"/>
            <w:vAlign w:val="bottom"/>
          </w:tcPr>
          <w:p>
            <w:pPr>
              <w:spacing w:after="0"/>
              <w:rPr>
                <w:sz w:val="20"/>
                <w:szCs w:val="20"/>
                <w:color w:val="auto"/>
              </w:rPr>
            </w:pPr>
          </w:p>
        </w:tc>
        <w:tc>
          <w:tcPr>
            <w:tcW w:w="520" w:type="dxa"/>
            <w:vAlign w:val="bottom"/>
          </w:tcPr>
          <w:p>
            <w:pPr>
              <w:ind w:left="34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gridSpan w:val="3"/>
          </w:tcPr>
          <w:p>
            <w:pPr>
              <w:jc w:val="right"/>
              <w:ind w:right="135"/>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3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Balances at December 31, 2020</w:t>
            </w:r>
          </w:p>
        </w:tc>
        <w:tc>
          <w:tcPr>
            <w:tcW w:w="14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shd w:val="clear" w:color="auto" w:fill="CFF0FC"/>
          </w:tcPr>
          <w:p>
            <w:pPr>
              <w:ind w:left="340"/>
              <w:spacing w:after="0"/>
              <w:rPr>
                <w:sz w:val="20"/>
                <w:szCs w:val="20"/>
                <w:color w:val="auto"/>
              </w:rPr>
            </w:pPr>
            <w:r>
              <w:rPr>
                <w:rFonts w:ascii="Arial" w:cs="Arial" w:eastAsia="Arial" w:hAnsi="Arial"/>
                <w:sz w:val="18"/>
                <w:szCs w:val="18"/>
                <w:color w:val="auto"/>
                <w:w w:val="88"/>
              </w:rPr>
              <w:t>—</w:t>
            </w:r>
          </w:p>
        </w:tc>
        <w:tc>
          <w:tcPr>
            <w:tcW w:w="1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top w:val="single" w:sz="8" w:color="auto"/>
              <w:bottom w:val="single" w:sz="8" w:color="auto"/>
            </w:tcBorders>
            <w:shd w:val="clear" w:color="auto" w:fill="CFF0FC"/>
          </w:tcPr>
          <w:p>
            <w:pPr>
              <w:jc w:val="right"/>
              <w:ind w:right="154"/>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2,383.6</w:t>
            </w:r>
          </w:p>
        </w:tc>
        <w:tc>
          <w:tcPr>
            <w:tcW w:w="10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top w:val="single" w:sz="8" w:color="auto"/>
              <w:bottom w:val="single" w:sz="8" w:color="auto"/>
            </w:tcBorders>
            <w:shd w:val="clear" w:color="auto" w:fill="CFF0FC"/>
          </w:tcPr>
          <w:p>
            <w:pPr>
              <w:jc w:val="right"/>
              <w:ind w:right="234"/>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(2,365.9</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(148.8</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(223.3</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1"/>
        </w:trPr>
        <w:tc>
          <w:tcPr>
            <w:tcW w:w="3640" w:type="dxa"/>
            <w:vAlign w:val="bottom"/>
          </w:tcPr>
          <w:p>
            <w:pPr>
              <w:ind w:left="20"/>
              <w:spacing w:after="0"/>
              <w:rPr>
                <w:sz w:val="20"/>
                <w:szCs w:val="20"/>
                <w:color w:val="auto"/>
              </w:rPr>
            </w:pPr>
            <w:r>
              <w:rPr>
                <w:rFonts w:ascii="Arial" w:cs="Arial" w:eastAsia="Arial" w:hAnsi="Arial"/>
                <w:sz w:val="18"/>
                <w:szCs w:val="18"/>
                <w:color w:val="auto"/>
              </w:rPr>
              <w:t>Equity-based compensation</w:t>
            </w:r>
          </w:p>
        </w:tc>
        <w:tc>
          <w:tcPr>
            <w:tcW w:w="140" w:type="dxa"/>
            <w:vAlign w:val="bottom"/>
          </w:tcPr>
          <w:p>
            <w:pPr>
              <w:spacing w:after="0"/>
              <w:rPr>
                <w:sz w:val="19"/>
                <w:szCs w:val="19"/>
                <w:color w:val="auto"/>
              </w:rPr>
            </w:pPr>
          </w:p>
        </w:tc>
        <w:tc>
          <w:tcPr>
            <w:tcW w:w="520" w:type="dxa"/>
            <w:vAlign w:val="bottom"/>
          </w:tcPr>
          <w:p>
            <w:pPr>
              <w:ind w:left="34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gridSpan w:val="3"/>
          </w:tcPr>
          <w:p>
            <w:pPr>
              <w:jc w:val="right"/>
              <w:ind w:right="13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3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FF0FC"/>
          </w:tcPr>
          <w:p>
            <w:pPr>
              <w:spacing w:after="0"/>
              <w:rPr>
                <w:sz w:val="21"/>
                <w:szCs w:val="21"/>
                <w:color w:val="auto"/>
              </w:rPr>
            </w:pPr>
          </w:p>
        </w:tc>
        <w:tc>
          <w:tcPr>
            <w:tcW w:w="520" w:type="dxa"/>
            <w:vAlign w:val="bottom"/>
            <w:shd w:val="clear" w:color="auto" w:fill="CFF0FC"/>
          </w:tcPr>
          <w:p>
            <w:pPr>
              <w:ind w:left="340"/>
              <w:spacing w:after="0"/>
              <w:rPr>
                <w:sz w:val="20"/>
                <w:szCs w:val="20"/>
                <w:color w:val="auto"/>
              </w:rPr>
            </w:pPr>
            <w:r>
              <w:rPr>
                <w:rFonts w:ascii="Arial" w:cs="Arial" w:eastAsia="Arial" w:hAnsi="Arial"/>
                <w:sz w:val="18"/>
                <w:szCs w:val="18"/>
                <w:color w:val="auto"/>
                <w:w w:val="88"/>
              </w:rPr>
              <w:t>—</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(109.1 )</w:t>
            </w:r>
          </w:p>
        </w:tc>
        <w:tc>
          <w:tcPr>
            <w:tcW w:w="10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000" w:type="dxa"/>
            <w:vAlign w:val="bottom"/>
            <w:gridSpan w:val="3"/>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(109.1 )</w:t>
            </w:r>
          </w:p>
        </w:tc>
        <w:tc>
          <w:tcPr>
            <w:tcW w:w="0" w:type="dxa"/>
            <w:vAlign w:val="bottom"/>
          </w:tcPr>
          <w:p>
            <w:pPr>
              <w:spacing w:after="0"/>
              <w:rPr>
                <w:sz w:val="1"/>
                <w:szCs w:val="1"/>
                <w:color w:val="auto"/>
              </w:rPr>
            </w:pPr>
          </w:p>
        </w:tc>
      </w:tr>
      <w:tr>
        <w:trPr>
          <w:trHeight w:val="236"/>
        </w:trPr>
        <w:tc>
          <w:tcPr>
            <w:tcW w:w="3640" w:type="dxa"/>
            <w:vAlign w:val="bottom"/>
          </w:tcPr>
          <w:p>
            <w:pPr>
              <w:ind w:left="20"/>
              <w:spacing w:after="0"/>
              <w:rPr>
                <w:sz w:val="20"/>
                <w:szCs w:val="20"/>
                <w:color w:val="auto"/>
              </w:rPr>
            </w:pPr>
            <w:r>
              <w:rPr>
                <w:rFonts w:ascii="Arial" w:cs="Arial" w:eastAsia="Arial" w:hAnsi="Arial"/>
                <w:sz w:val="18"/>
                <w:szCs w:val="18"/>
                <w:color w:val="auto"/>
              </w:rPr>
              <w:t>Pension, net of tax:</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6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Amortization of prior net losses</w:t>
            </w:r>
          </w:p>
        </w:tc>
        <w:tc>
          <w:tcPr>
            <w:tcW w:w="140" w:type="dxa"/>
            <w:vAlign w:val="bottom"/>
            <w:shd w:val="clear" w:color="auto" w:fill="CFF0FC"/>
          </w:tcPr>
          <w:p>
            <w:pPr>
              <w:spacing w:after="0"/>
              <w:rPr>
                <w:sz w:val="21"/>
                <w:szCs w:val="21"/>
                <w:color w:val="auto"/>
              </w:rPr>
            </w:pPr>
          </w:p>
        </w:tc>
        <w:tc>
          <w:tcPr>
            <w:tcW w:w="520" w:type="dxa"/>
            <w:vAlign w:val="bottom"/>
            <w:shd w:val="clear" w:color="auto" w:fill="CFF0FC"/>
          </w:tcPr>
          <w:p>
            <w:pPr>
              <w:ind w:left="340"/>
              <w:spacing w:after="0"/>
              <w:rPr>
                <w:sz w:val="20"/>
                <w:szCs w:val="20"/>
                <w:color w:val="auto"/>
              </w:rPr>
            </w:pPr>
            <w:r>
              <w:rPr>
                <w:rFonts w:ascii="Arial" w:cs="Arial" w:eastAsia="Arial" w:hAnsi="Arial"/>
                <w:sz w:val="18"/>
                <w:szCs w:val="18"/>
                <w:color w:val="auto"/>
                <w:w w:val="88"/>
              </w:rPr>
              <w:t>—</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40" w:type="dxa"/>
            <w:vAlign w:val="bottom"/>
            <w:gridSpan w:val="3"/>
            <w:shd w:val="clear" w:color="auto" w:fill="CFF0FC"/>
          </w:tcPr>
          <w:p>
            <w:pPr>
              <w:jc w:val="right"/>
              <w:ind w:right="135"/>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gridSpan w:val="3"/>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640" w:type="dxa"/>
            <w:vAlign w:val="bottom"/>
          </w:tcPr>
          <w:p>
            <w:pPr>
              <w:ind w:left="120"/>
              <w:spacing w:after="0"/>
              <w:rPr>
                <w:sz w:val="20"/>
                <w:szCs w:val="20"/>
                <w:color w:val="auto"/>
              </w:rPr>
            </w:pPr>
            <w:r>
              <w:rPr>
                <w:rFonts w:ascii="Arial" w:cs="Arial" w:eastAsia="Arial" w:hAnsi="Arial"/>
                <w:sz w:val="18"/>
                <w:szCs w:val="18"/>
                <w:color w:val="auto"/>
              </w:rPr>
              <w:t>Amortization of prior service credit</w:t>
            </w:r>
          </w:p>
        </w:tc>
        <w:tc>
          <w:tcPr>
            <w:tcW w:w="140" w:type="dxa"/>
            <w:vAlign w:val="bottom"/>
          </w:tcPr>
          <w:p>
            <w:pPr>
              <w:spacing w:after="0"/>
              <w:rPr>
                <w:sz w:val="20"/>
                <w:szCs w:val="20"/>
                <w:color w:val="auto"/>
              </w:rPr>
            </w:pPr>
          </w:p>
        </w:tc>
        <w:tc>
          <w:tcPr>
            <w:tcW w:w="520" w:type="dxa"/>
            <w:vAlign w:val="bottom"/>
          </w:tcPr>
          <w:p>
            <w:pPr>
              <w:ind w:left="34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gridSpan w:val="3"/>
          </w:tcPr>
          <w:p>
            <w:pPr>
              <w:jc w:val="right"/>
              <w:ind w:right="13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(0.4 )</w:t>
            </w:r>
          </w:p>
        </w:tc>
        <w:tc>
          <w:tcPr>
            <w:tcW w:w="120" w:type="dxa"/>
            <w:vAlign w:val="bottom"/>
          </w:tcPr>
          <w:p>
            <w:pPr>
              <w:spacing w:after="0"/>
              <w:rPr>
                <w:sz w:val="20"/>
                <w:szCs w:val="20"/>
                <w:color w:val="auto"/>
              </w:rPr>
            </w:pPr>
          </w:p>
        </w:tc>
        <w:tc>
          <w:tcPr>
            <w:tcW w:w="100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(0.4 )</w:t>
            </w:r>
          </w:p>
        </w:tc>
        <w:tc>
          <w:tcPr>
            <w:tcW w:w="0" w:type="dxa"/>
            <w:vAlign w:val="bottom"/>
          </w:tcPr>
          <w:p>
            <w:pPr>
              <w:spacing w:after="0"/>
              <w:rPr>
                <w:sz w:val="1"/>
                <w:szCs w:val="1"/>
                <w:color w:val="auto"/>
              </w:rPr>
            </w:pPr>
          </w:p>
        </w:tc>
      </w:tr>
      <w:tr>
        <w:trPr>
          <w:trHeight w:val="249"/>
        </w:trPr>
        <w:tc>
          <w:tcPr>
            <w:tcW w:w="36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Settlement adjustment</w:t>
            </w:r>
          </w:p>
        </w:tc>
        <w:tc>
          <w:tcPr>
            <w:tcW w:w="140" w:type="dxa"/>
            <w:vAlign w:val="bottom"/>
            <w:shd w:val="clear" w:color="auto" w:fill="CFF0FC"/>
          </w:tcPr>
          <w:p>
            <w:pPr>
              <w:spacing w:after="0"/>
              <w:rPr>
                <w:sz w:val="21"/>
                <w:szCs w:val="21"/>
                <w:color w:val="auto"/>
              </w:rPr>
            </w:pPr>
          </w:p>
        </w:tc>
        <w:tc>
          <w:tcPr>
            <w:tcW w:w="520" w:type="dxa"/>
            <w:vAlign w:val="bottom"/>
            <w:shd w:val="clear" w:color="auto" w:fill="CFF0FC"/>
          </w:tcPr>
          <w:p>
            <w:pPr>
              <w:ind w:left="340"/>
              <w:spacing w:after="0"/>
              <w:rPr>
                <w:sz w:val="20"/>
                <w:szCs w:val="20"/>
                <w:color w:val="auto"/>
              </w:rPr>
            </w:pPr>
            <w:r>
              <w:rPr>
                <w:rFonts w:ascii="Arial" w:cs="Arial" w:eastAsia="Arial" w:hAnsi="Arial"/>
                <w:sz w:val="18"/>
                <w:szCs w:val="18"/>
                <w:color w:val="auto"/>
                <w:w w:val="88"/>
              </w:rPr>
              <w:t>—</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40" w:type="dxa"/>
            <w:vAlign w:val="bottom"/>
            <w:gridSpan w:val="3"/>
            <w:shd w:val="clear" w:color="auto" w:fill="CFF0FC"/>
          </w:tcPr>
          <w:p>
            <w:pPr>
              <w:jc w:val="right"/>
              <w:ind w:right="135"/>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64.7</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gridSpan w:val="3"/>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640" w:type="dxa"/>
            <w:vAlign w:val="bottom"/>
          </w:tcPr>
          <w:p>
            <w:pPr>
              <w:ind w:left="120"/>
              <w:spacing w:after="0"/>
              <w:rPr>
                <w:sz w:val="20"/>
                <w:szCs w:val="20"/>
                <w:color w:val="auto"/>
              </w:rPr>
            </w:pPr>
            <w:r>
              <w:rPr>
                <w:rFonts w:ascii="Arial" w:cs="Arial" w:eastAsia="Arial" w:hAnsi="Arial"/>
                <w:sz w:val="18"/>
                <w:szCs w:val="18"/>
                <w:color w:val="auto"/>
              </w:rPr>
              <w:t>Net actuarial loss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(112.7 )</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(112.7 )</w:t>
            </w:r>
          </w:p>
        </w:tc>
        <w:tc>
          <w:tcPr>
            <w:tcW w:w="0" w:type="dxa"/>
            <w:vAlign w:val="bottom"/>
          </w:tcPr>
          <w:p>
            <w:pPr>
              <w:spacing w:after="0"/>
              <w:rPr>
                <w:sz w:val="1"/>
                <w:szCs w:val="1"/>
                <w:color w:val="auto"/>
              </w:rPr>
            </w:pPr>
          </w:p>
        </w:tc>
      </w:tr>
      <w:tr>
        <w:trPr>
          <w:trHeight w:val="243"/>
        </w:trPr>
        <w:tc>
          <w:tcPr>
            <w:tcW w:w="3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Foreign currency translation, net of tax</w:t>
            </w:r>
          </w:p>
        </w:tc>
        <w:tc>
          <w:tcPr>
            <w:tcW w:w="14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ind w:left="340"/>
              <w:spacing w:after="0"/>
              <w:rPr>
                <w:sz w:val="20"/>
                <w:szCs w:val="20"/>
                <w:color w:val="auto"/>
              </w:rPr>
            </w:pPr>
            <w:r>
              <w:rPr>
                <w:rFonts w:ascii="Arial" w:cs="Arial" w:eastAsia="Arial" w:hAnsi="Arial"/>
                <w:sz w:val="18"/>
                <w:szCs w:val="18"/>
                <w:color w:val="auto"/>
                <w:w w:val="88"/>
              </w:rPr>
              <w:t>—</w:t>
            </w: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640" w:type="dxa"/>
            <w:vAlign w:val="bottom"/>
          </w:tcPr>
          <w:p>
            <w:pPr>
              <w:ind w:left="20"/>
              <w:spacing w:after="0"/>
              <w:rPr>
                <w:sz w:val="20"/>
                <w:szCs w:val="20"/>
                <w:color w:val="auto"/>
              </w:rPr>
            </w:pPr>
            <w:r>
              <w:rPr>
                <w:rFonts w:ascii="Arial" w:cs="Arial" w:eastAsia="Arial" w:hAnsi="Arial"/>
                <w:sz w:val="18"/>
                <w:szCs w:val="18"/>
                <w:b w:val="1"/>
                <w:bCs w:val="1"/>
                <w:color w:val="auto"/>
              </w:rPr>
              <w:t>Balances at December 31, 2021</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520" w:type="dxa"/>
            <w:vAlign w:val="bottom"/>
          </w:tcPr>
          <w:p>
            <w:pPr>
              <w:ind w:left="34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20"/>
                <w:szCs w:val="20"/>
                <w:color w:val="auto"/>
              </w:rPr>
            </w:pP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0"/>
                <w:szCs w:val="20"/>
                <w:color w:val="auto"/>
              </w:rPr>
            </w:pPr>
          </w:p>
        </w:tc>
        <w:tc>
          <w:tcPr>
            <w:tcW w:w="340" w:type="dxa"/>
            <w:vAlign w:val="bottom"/>
          </w:tcPr>
          <w:p>
            <w:pPr>
              <w:jc w:val="right"/>
              <w:ind w:right="154"/>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2,388.3</w:t>
            </w:r>
          </w:p>
        </w:tc>
        <w:tc>
          <w:tcPr>
            <w:tcW w:w="100" w:type="dxa"/>
            <w:vAlign w:val="bottom"/>
          </w:tcPr>
          <w:p>
            <w:pPr>
              <w:spacing w:after="0"/>
              <w:rPr>
                <w:sz w:val="20"/>
                <w:szCs w:val="20"/>
                <w:color w:val="auto"/>
              </w:rPr>
            </w:pPr>
          </w:p>
        </w:tc>
        <w:tc>
          <w:tcPr>
            <w:tcW w:w="420" w:type="dxa"/>
            <w:vAlign w:val="bottom"/>
          </w:tcPr>
          <w:p>
            <w:pPr>
              <w:jc w:val="right"/>
              <w:ind w:right="234"/>
              <w:spacing w:after="0"/>
              <w:rPr>
                <w:sz w:val="20"/>
                <w:szCs w:val="20"/>
                <w:color w:val="auto"/>
              </w:rPr>
            </w:pPr>
            <w:r>
              <w:rPr>
                <w:rFonts w:ascii="Arial" w:cs="Arial" w:eastAsia="Arial" w:hAnsi="Arial"/>
                <w:sz w:val="18"/>
                <w:szCs w:val="18"/>
                <w:color w:val="auto"/>
                <w:w w:val="79"/>
              </w:rPr>
              <w:t>$</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(2,475.0 ) $</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(184.6 ) $</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(92.7 ) $</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(363.5 )</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3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Equity-based compensation</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ind w:left="340"/>
              <w:spacing w:after="0"/>
              <w:rPr>
                <w:sz w:val="20"/>
                <w:szCs w:val="20"/>
                <w:color w:val="auto"/>
              </w:rPr>
            </w:pPr>
            <w:r>
              <w:rPr>
                <w:rFonts w:ascii="Arial" w:cs="Arial" w:eastAsia="Arial" w:hAnsi="Arial"/>
                <w:sz w:val="18"/>
                <w:szCs w:val="18"/>
                <w:color w:val="auto"/>
                <w:w w:val="88"/>
              </w:rPr>
              <w:t>—</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6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20"/>
                <w:szCs w:val="20"/>
                <w:color w:val="auto"/>
              </w:rPr>
            </w:pPr>
          </w:p>
        </w:tc>
        <w:tc>
          <w:tcPr>
            <w:tcW w:w="520" w:type="dxa"/>
            <w:vAlign w:val="bottom"/>
          </w:tcPr>
          <w:p>
            <w:pPr>
              <w:ind w:left="34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Pension, net of tax:</w:t>
            </w:r>
          </w:p>
        </w:tc>
        <w:tc>
          <w:tcPr>
            <w:tcW w:w="14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640" w:type="dxa"/>
            <w:vAlign w:val="bottom"/>
          </w:tcPr>
          <w:p>
            <w:pPr>
              <w:ind w:left="120"/>
              <w:spacing w:after="0"/>
              <w:rPr>
                <w:sz w:val="20"/>
                <w:szCs w:val="20"/>
                <w:color w:val="auto"/>
              </w:rPr>
            </w:pPr>
            <w:r>
              <w:rPr>
                <w:rFonts w:ascii="Arial" w:cs="Arial" w:eastAsia="Arial" w:hAnsi="Arial"/>
                <w:sz w:val="18"/>
                <w:szCs w:val="18"/>
                <w:color w:val="auto"/>
              </w:rPr>
              <w:t>Amortization of prior net losses</w:t>
            </w:r>
          </w:p>
        </w:tc>
        <w:tc>
          <w:tcPr>
            <w:tcW w:w="140" w:type="dxa"/>
            <w:vAlign w:val="bottom"/>
          </w:tcPr>
          <w:p>
            <w:pPr>
              <w:spacing w:after="0"/>
              <w:rPr>
                <w:sz w:val="20"/>
                <w:szCs w:val="20"/>
                <w:color w:val="auto"/>
              </w:rPr>
            </w:pPr>
          </w:p>
        </w:tc>
        <w:tc>
          <w:tcPr>
            <w:tcW w:w="520" w:type="dxa"/>
            <w:vAlign w:val="bottom"/>
          </w:tcPr>
          <w:p>
            <w:pPr>
              <w:ind w:left="34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gridSpan w:val="3"/>
          </w:tcPr>
          <w:p>
            <w:pPr>
              <w:jc w:val="right"/>
              <w:ind w:right="135"/>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6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Amortization of prior service credit</w:t>
            </w:r>
          </w:p>
        </w:tc>
        <w:tc>
          <w:tcPr>
            <w:tcW w:w="140" w:type="dxa"/>
            <w:vAlign w:val="bottom"/>
            <w:shd w:val="clear" w:color="auto" w:fill="CFF0FC"/>
          </w:tcPr>
          <w:p>
            <w:pPr>
              <w:spacing w:after="0"/>
              <w:rPr>
                <w:sz w:val="21"/>
                <w:szCs w:val="21"/>
                <w:color w:val="auto"/>
              </w:rPr>
            </w:pPr>
          </w:p>
        </w:tc>
        <w:tc>
          <w:tcPr>
            <w:tcW w:w="520" w:type="dxa"/>
            <w:vAlign w:val="bottom"/>
            <w:shd w:val="clear" w:color="auto" w:fill="CFF0FC"/>
          </w:tcPr>
          <w:p>
            <w:pPr>
              <w:ind w:left="340"/>
              <w:spacing w:after="0"/>
              <w:rPr>
                <w:sz w:val="20"/>
                <w:szCs w:val="20"/>
                <w:color w:val="auto"/>
              </w:rPr>
            </w:pPr>
            <w:r>
              <w:rPr>
                <w:rFonts w:ascii="Arial" w:cs="Arial" w:eastAsia="Arial" w:hAnsi="Arial"/>
                <w:sz w:val="18"/>
                <w:szCs w:val="18"/>
                <w:color w:val="auto"/>
                <w:w w:val="88"/>
              </w:rPr>
              <w:t>—</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40" w:type="dxa"/>
            <w:vAlign w:val="bottom"/>
            <w:gridSpan w:val="3"/>
            <w:shd w:val="clear" w:color="auto" w:fill="CFF0FC"/>
          </w:tcPr>
          <w:p>
            <w:pPr>
              <w:jc w:val="right"/>
              <w:ind w:right="13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(0.4 )</w:t>
            </w:r>
          </w:p>
        </w:tc>
        <w:tc>
          <w:tcPr>
            <w:tcW w:w="120" w:type="dxa"/>
            <w:vAlign w:val="bottom"/>
            <w:shd w:val="clear" w:color="auto" w:fill="CFF0FC"/>
          </w:tcPr>
          <w:p>
            <w:pPr>
              <w:spacing w:after="0"/>
              <w:rPr>
                <w:sz w:val="21"/>
                <w:szCs w:val="21"/>
                <w:color w:val="auto"/>
              </w:rPr>
            </w:pPr>
          </w:p>
        </w:tc>
        <w:tc>
          <w:tcPr>
            <w:tcW w:w="1000" w:type="dxa"/>
            <w:vAlign w:val="bottom"/>
            <w:gridSpan w:val="3"/>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(0.4 )</w:t>
            </w:r>
          </w:p>
        </w:tc>
        <w:tc>
          <w:tcPr>
            <w:tcW w:w="0" w:type="dxa"/>
            <w:vAlign w:val="bottom"/>
          </w:tcPr>
          <w:p>
            <w:pPr>
              <w:spacing w:after="0"/>
              <w:rPr>
                <w:sz w:val="1"/>
                <w:szCs w:val="1"/>
                <w:color w:val="auto"/>
              </w:rPr>
            </w:pPr>
          </w:p>
        </w:tc>
      </w:tr>
      <w:tr>
        <w:trPr>
          <w:trHeight w:val="236"/>
        </w:trPr>
        <w:tc>
          <w:tcPr>
            <w:tcW w:w="3640" w:type="dxa"/>
            <w:vAlign w:val="bottom"/>
          </w:tcPr>
          <w:p>
            <w:pPr>
              <w:ind w:left="120"/>
              <w:spacing w:after="0"/>
              <w:rPr>
                <w:sz w:val="20"/>
                <w:szCs w:val="20"/>
                <w:color w:val="auto"/>
              </w:rPr>
            </w:pPr>
            <w:r>
              <w:rPr>
                <w:rFonts w:ascii="Arial" w:cs="Arial" w:eastAsia="Arial" w:hAnsi="Arial"/>
                <w:sz w:val="18"/>
                <w:szCs w:val="18"/>
                <w:color w:val="auto"/>
              </w:rPr>
              <w:t>Settlement adjustment</w:t>
            </w:r>
          </w:p>
        </w:tc>
        <w:tc>
          <w:tcPr>
            <w:tcW w:w="140" w:type="dxa"/>
            <w:vAlign w:val="bottom"/>
          </w:tcPr>
          <w:p>
            <w:pPr>
              <w:spacing w:after="0"/>
              <w:rPr>
                <w:sz w:val="20"/>
                <w:szCs w:val="20"/>
                <w:color w:val="auto"/>
              </w:rPr>
            </w:pPr>
          </w:p>
        </w:tc>
        <w:tc>
          <w:tcPr>
            <w:tcW w:w="520" w:type="dxa"/>
            <w:vAlign w:val="bottom"/>
          </w:tcPr>
          <w:p>
            <w:pPr>
              <w:ind w:left="34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gridSpan w:val="3"/>
          </w:tcPr>
          <w:p>
            <w:pPr>
              <w:jc w:val="right"/>
              <w:ind w:right="135"/>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6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Net actuarial loss</w:t>
            </w:r>
          </w:p>
        </w:tc>
        <w:tc>
          <w:tcPr>
            <w:tcW w:w="140" w:type="dxa"/>
            <w:vAlign w:val="bottom"/>
            <w:shd w:val="clear" w:color="auto" w:fill="CFF0FC"/>
          </w:tcPr>
          <w:p>
            <w:pPr>
              <w:spacing w:after="0"/>
              <w:rPr>
                <w:sz w:val="21"/>
                <w:szCs w:val="21"/>
                <w:color w:val="auto"/>
              </w:rPr>
            </w:pPr>
          </w:p>
        </w:tc>
        <w:tc>
          <w:tcPr>
            <w:tcW w:w="520" w:type="dxa"/>
            <w:vAlign w:val="bottom"/>
            <w:shd w:val="clear" w:color="auto" w:fill="CFF0FC"/>
          </w:tcPr>
          <w:p>
            <w:pPr>
              <w:ind w:left="340"/>
              <w:spacing w:after="0"/>
              <w:rPr>
                <w:sz w:val="20"/>
                <w:szCs w:val="20"/>
                <w:color w:val="auto"/>
              </w:rPr>
            </w:pPr>
            <w:r>
              <w:rPr>
                <w:rFonts w:ascii="Arial" w:cs="Arial" w:eastAsia="Arial" w:hAnsi="Arial"/>
                <w:sz w:val="18"/>
                <w:szCs w:val="18"/>
                <w:color w:val="auto"/>
                <w:w w:val="88"/>
              </w:rPr>
              <w:t>—</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40" w:type="dxa"/>
            <w:vAlign w:val="bottom"/>
            <w:gridSpan w:val="3"/>
            <w:shd w:val="clear" w:color="auto" w:fill="CFF0FC"/>
          </w:tcPr>
          <w:p>
            <w:pPr>
              <w:jc w:val="right"/>
              <w:ind w:right="13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(62.4 )</w:t>
            </w:r>
          </w:p>
        </w:tc>
        <w:tc>
          <w:tcPr>
            <w:tcW w:w="120" w:type="dxa"/>
            <w:vAlign w:val="bottom"/>
            <w:shd w:val="clear" w:color="auto" w:fill="CFF0FC"/>
          </w:tcPr>
          <w:p>
            <w:pPr>
              <w:spacing w:after="0"/>
              <w:rPr>
                <w:sz w:val="21"/>
                <w:szCs w:val="21"/>
                <w:color w:val="auto"/>
              </w:rPr>
            </w:pPr>
          </w:p>
        </w:tc>
        <w:tc>
          <w:tcPr>
            <w:tcW w:w="1000" w:type="dxa"/>
            <w:vAlign w:val="bottom"/>
            <w:gridSpan w:val="3"/>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(62.4 )</w:t>
            </w:r>
          </w:p>
        </w:tc>
        <w:tc>
          <w:tcPr>
            <w:tcW w:w="0" w:type="dxa"/>
            <w:vAlign w:val="bottom"/>
          </w:tcPr>
          <w:p>
            <w:pPr>
              <w:spacing w:after="0"/>
              <w:rPr>
                <w:sz w:val="1"/>
                <w:szCs w:val="1"/>
                <w:color w:val="auto"/>
              </w:rPr>
            </w:pPr>
          </w:p>
        </w:tc>
      </w:tr>
      <w:tr>
        <w:trPr>
          <w:trHeight w:val="236"/>
        </w:trPr>
        <w:tc>
          <w:tcPr>
            <w:tcW w:w="3640" w:type="dxa"/>
            <w:vAlign w:val="bottom"/>
          </w:tcPr>
          <w:p>
            <w:pPr>
              <w:ind w:left="20"/>
              <w:spacing w:after="0"/>
              <w:rPr>
                <w:sz w:val="20"/>
                <w:szCs w:val="20"/>
                <w:color w:val="auto"/>
              </w:rPr>
            </w:pPr>
            <w:r>
              <w:rPr>
                <w:rFonts w:ascii="Arial" w:cs="Arial" w:eastAsia="Arial" w:hAnsi="Arial"/>
                <w:sz w:val="18"/>
                <w:szCs w:val="18"/>
                <w:color w:val="auto"/>
              </w:rPr>
              <w:t>Foreign currency translation, net of tax</w:t>
            </w:r>
          </w:p>
        </w:tc>
        <w:tc>
          <w:tcPr>
            <w:tcW w:w="140" w:type="dxa"/>
            <w:vAlign w:val="bottom"/>
          </w:tcPr>
          <w:p>
            <w:pPr>
              <w:spacing w:after="0"/>
              <w:rPr>
                <w:sz w:val="20"/>
                <w:szCs w:val="20"/>
                <w:color w:val="auto"/>
              </w:rPr>
            </w:pPr>
          </w:p>
        </w:tc>
        <w:tc>
          <w:tcPr>
            <w:tcW w:w="520" w:type="dxa"/>
            <w:vAlign w:val="bottom"/>
          </w:tcPr>
          <w:p>
            <w:pPr>
              <w:ind w:left="34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gridSpan w:val="3"/>
          </w:tcPr>
          <w:p>
            <w:pPr>
              <w:jc w:val="right"/>
              <w:ind w:right="13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(2.8 )</w:t>
            </w:r>
          </w:p>
        </w:tc>
        <w:tc>
          <w:tcPr>
            <w:tcW w:w="120" w:type="dxa"/>
            <w:vAlign w:val="bottom"/>
          </w:tcPr>
          <w:p>
            <w:pPr>
              <w:spacing w:after="0"/>
              <w:rPr>
                <w:sz w:val="20"/>
                <w:szCs w:val="20"/>
                <w:color w:val="auto"/>
              </w:rPr>
            </w:pPr>
          </w:p>
        </w:tc>
        <w:tc>
          <w:tcPr>
            <w:tcW w:w="100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78"/>
        </w:trPr>
        <w:tc>
          <w:tcPr>
            <w:tcW w:w="3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Balances at December 31, 2022</w:t>
            </w:r>
          </w:p>
        </w:tc>
        <w:tc>
          <w:tcPr>
            <w:tcW w:w="14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shd w:val="clear" w:color="auto" w:fill="CFF0FC"/>
          </w:tcPr>
          <w:p>
            <w:pPr>
              <w:ind w:left="340"/>
              <w:spacing w:after="0"/>
              <w:rPr>
                <w:sz w:val="20"/>
                <w:szCs w:val="20"/>
                <w:color w:val="auto"/>
              </w:rPr>
            </w:pPr>
            <w:r>
              <w:rPr>
                <w:rFonts w:ascii="Arial" w:cs="Arial" w:eastAsia="Arial" w:hAnsi="Arial"/>
                <w:sz w:val="18"/>
                <w:szCs w:val="18"/>
                <w:color w:val="auto"/>
                <w:w w:val="88"/>
              </w:rPr>
              <w:t>—</w:t>
            </w:r>
          </w:p>
        </w:tc>
        <w:tc>
          <w:tcPr>
            <w:tcW w:w="1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top w:val="single" w:sz="8" w:color="auto"/>
              <w:bottom w:val="single" w:sz="8" w:color="auto"/>
            </w:tcBorders>
            <w:shd w:val="clear" w:color="auto" w:fill="CFF0FC"/>
          </w:tcPr>
          <w:p>
            <w:pPr>
              <w:jc w:val="right"/>
              <w:ind w:right="154"/>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2,393.4</w:t>
            </w:r>
          </w:p>
        </w:tc>
        <w:tc>
          <w:tcPr>
            <w:tcW w:w="10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top w:val="single" w:sz="8" w:color="auto"/>
              <w:bottom w:val="single" w:sz="8" w:color="auto"/>
            </w:tcBorders>
            <w:shd w:val="clear" w:color="auto" w:fill="CFF0FC"/>
          </w:tcPr>
          <w:p>
            <w:pPr>
              <w:jc w:val="right"/>
              <w:ind w:right="234"/>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(2,453.2</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(229.5</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(381.5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2736215</wp:posOffset>
            </wp:positionH>
            <wp:positionV relativeFrom="paragraph">
              <wp:posOffset>-2867660</wp:posOffset>
            </wp:positionV>
            <wp:extent cx="4401185" cy="1797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401185" cy="179705"/>
                    </a:xfrm>
                    <a:prstGeom prst="rect">
                      <a:avLst/>
                    </a:prstGeom>
                    <a:noFill/>
                  </pic:spPr>
                </pic:pic>
              </a:graphicData>
            </a:graphic>
          </wp:anchor>
        </w:drawing>
        <w:drawing>
          <wp:anchor simplePos="0" relativeHeight="251657728" behindDoc="1" locked="0" layoutInCell="0" allowOverlap="1">
            <wp:simplePos x="0" y="0"/>
            <wp:positionH relativeFrom="column">
              <wp:posOffset>2736215</wp:posOffset>
            </wp:positionH>
            <wp:positionV relativeFrom="paragraph">
              <wp:posOffset>-1609090</wp:posOffset>
            </wp:positionV>
            <wp:extent cx="76835" cy="18859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3173095</wp:posOffset>
            </wp:positionH>
            <wp:positionV relativeFrom="paragraph">
              <wp:posOffset>-1609090</wp:posOffset>
            </wp:positionV>
            <wp:extent cx="76835" cy="18859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3969385</wp:posOffset>
            </wp:positionH>
            <wp:positionV relativeFrom="paragraph">
              <wp:posOffset>-1609090</wp:posOffset>
            </wp:positionV>
            <wp:extent cx="68580" cy="18859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4893945</wp:posOffset>
            </wp:positionH>
            <wp:positionV relativeFrom="paragraph">
              <wp:posOffset>-1609090</wp:posOffset>
            </wp:positionV>
            <wp:extent cx="68580" cy="18859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5655945</wp:posOffset>
            </wp:positionH>
            <wp:positionV relativeFrom="paragraph">
              <wp:posOffset>-1609090</wp:posOffset>
            </wp:positionV>
            <wp:extent cx="68580" cy="18859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6306820</wp:posOffset>
            </wp:positionH>
            <wp:positionV relativeFrom="paragraph">
              <wp:posOffset>-1609090</wp:posOffset>
            </wp:positionV>
            <wp:extent cx="68580" cy="18859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-1609090</wp:posOffset>
            </wp:positionV>
            <wp:extent cx="68580" cy="18859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2736215</wp:posOffset>
            </wp:positionH>
            <wp:positionV relativeFrom="paragraph">
              <wp:posOffset>-24765</wp:posOffset>
            </wp:positionV>
            <wp:extent cx="7683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2736215</wp:posOffset>
            </wp:positionH>
            <wp:positionV relativeFrom="paragraph">
              <wp:posOffset>-7620</wp:posOffset>
            </wp:positionV>
            <wp:extent cx="7683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3173095</wp:posOffset>
            </wp:positionH>
            <wp:positionV relativeFrom="paragraph">
              <wp:posOffset>-24765</wp:posOffset>
            </wp:positionV>
            <wp:extent cx="7683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3173095</wp:posOffset>
            </wp:positionH>
            <wp:positionV relativeFrom="paragraph">
              <wp:posOffset>-7620</wp:posOffset>
            </wp:positionV>
            <wp:extent cx="7683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3969385</wp:posOffset>
            </wp:positionH>
            <wp:positionV relativeFrom="paragraph">
              <wp:posOffset>-24765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3969385</wp:posOffset>
            </wp:positionH>
            <wp:positionV relativeFrom="paragraph">
              <wp:posOffset>-7620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4893945</wp:posOffset>
            </wp:positionH>
            <wp:positionV relativeFrom="paragraph">
              <wp:posOffset>-24765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4893945</wp:posOffset>
            </wp:positionH>
            <wp:positionV relativeFrom="paragraph">
              <wp:posOffset>-7620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5655945</wp:posOffset>
            </wp:positionH>
            <wp:positionV relativeFrom="paragraph">
              <wp:posOffset>-24765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5655945</wp:posOffset>
            </wp:positionH>
            <wp:positionV relativeFrom="paragraph">
              <wp:posOffset>-7620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6306820</wp:posOffset>
            </wp:positionH>
            <wp:positionV relativeFrom="paragraph">
              <wp:posOffset>-24765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6306820</wp:posOffset>
            </wp:positionH>
            <wp:positionV relativeFrom="paragraph">
              <wp:posOffset>-7620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Yellow Corporation and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Yellow Corporation (also referred to as “Yellow,” the “Company,” “we,” “us” or “our”) is a holding company that, through its operating subsidiaries, offers its customers a wide range of transportation services. We have one of the largest, most comprehensive less-than-truckload (“LTL”) networks in North America with local, regional, national and international capabilities. Through our team of experienced service professionals, we offer expertise in LTL shipments and flexible supply chain solutions, ensuring customers can ship industrial, commercial and retail goods with confidence.</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Yellow Corporation provides for the movement of industrial, commercial and retail goods through our LTL subsidiaries including USF Holland LLC (“Holland”), New Penn Motor Express LLC (“New Penn”), USF Reddaway Inc. (“Reddaway”), YRC Inc. and YRC Freight Canada Company (both doing business as, and herein referred to as, “YRC Freight”). Our LTL companies provide regional, national and international services through a consolidated network of facilities located primarily across the United States and Canada. We also offer services through Yellow Logistics, Inc. (“Yellow Logistics”), our customer-specific logistics solutions provider, specializing in truckload, residential, and warehouse solutions.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Company's labor force is subject to collective bargaining agreements, which predominantly expire on March 31, 2024.</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Accounting Policies</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Accounting policies refer to specific accounting principles and the methods of applying those principles to fairly present our financial position and results of operations in accordance with generally accepted accounting principles. The policies discussed below include those that management has determined to be the most appropriate in preparing our consolidated financial statements.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Yellow Corporation and its wholly owned subsidiaries. All significant intercompany accounts and transactions have been eliminated in consolidation. We report on a calendar year basis.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84" w:lineRule="exact"/>
        <w:rPr>
          <w:sz w:val="20"/>
          <w:szCs w:val="20"/>
          <w:color w:val="auto"/>
        </w:rPr>
      </w:pPr>
    </w:p>
    <w:p>
      <w:pPr>
        <w:jc w:val="both"/>
        <w:spacing w:after="0" w:line="307" w:lineRule="auto"/>
        <w:rPr>
          <w:sz w:val="20"/>
          <w:szCs w:val="20"/>
          <w:color w:val="auto"/>
        </w:rPr>
      </w:pPr>
      <w:r>
        <w:rPr>
          <w:rFonts w:ascii="Arial" w:cs="Arial" w:eastAsia="Arial" w:hAnsi="Arial"/>
          <w:sz w:val="17"/>
          <w:szCs w:val="17"/>
          <w:color w:val="auto"/>
        </w:rPr>
        <w:t>Management makes estimates and assumptions when preparing the financial statements in conformity with U.S. generally accepted accounting principles which affect the amounts reported in the financial statements and accompanying notes. Actual results could differ from those estimates.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 and Disaggregation of Revenue</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provides LTL services through a single integrated organization based upon the joining of our national and regional operations during the enterprise transformation. The Company’s revenue is primarily derived from transporting LTL shipments in North America and specifically in the United States, but we also offer other services such as truckload services, customer specific logistics solutions, and other services (collectively "Other revenue" in table below).</w:t>
      </w:r>
    </w:p>
    <w:p>
      <w:pPr>
        <w:spacing w:after="0" w:line="14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determined it has one reporting segment and the composition of our revenue is summarized below with LTL shipments defined as shipments less than 10,000 pounds that move in our network.</w:t>
      </w:r>
    </w:p>
    <w:p>
      <w:pPr>
        <w:spacing w:after="0" w:line="16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center"/>
              <w:ind w:right="159"/>
              <w:spacing w:after="0"/>
              <w:rPr>
                <w:sz w:val="20"/>
                <w:szCs w:val="20"/>
                <w:color w:val="auto"/>
              </w:rPr>
            </w:pPr>
            <w:r>
              <w:rPr>
                <w:rFonts w:ascii="Arial" w:cs="Arial" w:eastAsia="Arial" w:hAnsi="Arial"/>
                <w:sz w:val="14"/>
                <w:szCs w:val="14"/>
                <w:b w:val="1"/>
                <w:bCs w:val="1"/>
                <w:color w:val="auto"/>
                <w:w w:val="93"/>
              </w:rPr>
              <w:t>Year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center"/>
              <w:ind w:right="159"/>
              <w:spacing w:after="0"/>
              <w:rPr>
                <w:sz w:val="20"/>
                <w:szCs w:val="20"/>
                <w:color w:val="auto"/>
              </w:rPr>
            </w:pPr>
            <w:r>
              <w:rPr>
                <w:rFonts w:ascii="Arial" w:cs="Arial" w:eastAsia="Arial" w:hAnsi="Arial"/>
                <w:sz w:val="14"/>
                <w:szCs w:val="14"/>
                <w:b w:val="1"/>
                <w:bCs w:val="1"/>
                <w:color w:val="auto"/>
                <w:w w:val="93"/>
              </w:rPr>
              <w:t>Year Ended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right="177"/>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8"/>
        </w:trPr>
        <w:tc>
          <w:tcPr>
            <w:tcW w:w="508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right="159"/>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right="159"/>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2"/>
                <w:szCs w:val="12"/>
                <w:color w:val="auto"/>
              </w:rPr>
            </w:pPr>
          </w:p>
        </w:tc>
        <w:tc>
          <w:tcPr>
            <w:tcW w:w="1140" w:type="dxa"/>
            <w:vAlign w:val="bottom"/>
            <w:gridSpan w:val="2"/>
          </w:tcPr>
          <w:p>
            <w:pPr>
              <w:jc w:val="center"/>
              <w:ind w:right="57"/>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5"/>
        </w:trPr>
        <w:tc>
          <w:tcPr>
            <w:tcW w:w="508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89"/>
              </w:rPr>
              <w:t>2022</w:t>
            </w: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36"/>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LTL revenue</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4,719.3</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4,605.9</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17"/>
              <w:spacing w:after="0"/>
              <w:rPr>
                <w:sz w:val="20"/>
                <w:szCs w:val="20"/>
                <w:color w:val="auto"/>
              </w:rPr>
            </w:pPr>
            <w:r>
              <w:rPr>
                <w:rFonts w:ascii="Arial" w:cs="Arial" w:eastAsia="Arial" w:hAnsi="Arial"/>
                <w:sz w:val="18"/>
                <w:szCs w:val="18"/>
                <w:color w:val="auto"/>
              </w:rPr>
              <w:t>4,093.3</w:t>
            </w:r>
          </w:p>
        </w:tc>
        <w:tc>
          <w:tcPr>
            <w:tcW w:w="0" w:type="dxa"/>
            <w:vAlign w:val="bottom"/>
          </w:tcPr>
          <w:p>
            <w:pPr>
              <w:spacing w:after="0"/>
              <w:rPr>
                <w:sz w:val="1"/>
                <w:szCs w:val="1"/>
                <w:color w:val="auto"/>
              </w:rPr>
            </w:pPr>
          </w:p>
        </w:tc>
      </w:tr>
      <w:tr>
        <w:trPr>
          <w:trHeight w:val="243"/>
        </w:trPr>
        <w:tc>
          <w:tcPr>
            <w:tcW w:w="5080" w:type="dxa"/>
            <w:vAlign w:val="bottom"/>
          </w:tcPr>
          <w:p>
            <w:pPr>
              <w:spacing w:after="0" w:line="243" w:lineRule="exact"/>
              <w:rPr>
                <w:sz w:val="20"/>
                <w:szCs w:val="20"/>
                <w:color w:val="auto"/>
              </w:rPr>
            </w:pPr>
            <w:r>
              <w:rPr>
                <w:rFonts w:ascii="Arial" w:cs="Arial" w:eastAsia="Arial" w:hAnsi="Arial"/>
                <w:sz w:val="18"/>
                <w:szCs w:val="18"/>
                <w:color w:val="auto"/>
              </w:rPr>
              <w:t>Other revenue</w:t>
            </w:r>
            <w:r>
              <w:rPr>
                <w:rFonts w:ascii="Arial" w:cs="Arial" w:eastAsia="Arial" w:hAnsi="Arial"/>
                <w:sz w:val="24"/>
                <w:szCs w:val="24"/>
                <w:color w:val="auto"/>
                <w:vertAlign w:val="superscript"/>
              </w:rPr>
              <w:t>(a)</w:t>
            </w:r>
          </w:p>
        </w:tc>
        <w:tc>
          <w:tcPr>
            <w:tcW w:w="1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525.4</w:t>
            </w:r>
          </w:p>
        </w:tc>
        <w:tc>
          <w:tcPr>
            <w:tcW w:w="1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515.9</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420.4</w:t>
            </w:r>
          </w:p>
        </w:tc>
        <w:tc>
          <w:tcPr>
            <w:tcW w:w="0" w:type="dxa"/>
            <w:vAlign w:val="bottom"/>
          </w:tcPr>
          <w:p>
            <w:pPr>
              <w:spacing w:after="0"/>
              <w:rPr>
                <w:sz w:val="1"/>
                <w:szCs w:val="1"/>
                <w:color w:val="auto"/>
              </w:rPr>
            </w:pPr>
          </w:p>
        </w:tc>
      </w:tr>
      <w:tr>
        <w:trPr>
          <w:trHeight w:val="224"/>
        </w:trPr>
        <w:tc>
          <w:tcPr>
            <w:tcW w:w="5080" w:type="dxa"/>
            <w:vAlign w:val="bottom"/>
          </w:tcPr>
          <w:p>
            <w:pPr>
              <w:spacing w:after="0"/>
              <w:rPr>
                <w:sz w:val="20"/>
                <w:szCs w:val="20"/>
                <w:color w:val="auto"/>
              </w:rPr>
            </w:pPr>
            <w:r>
              <w:rPr>
                <w:rFonts w:ascii="Arial" w:cs="Arial" w:eastAsia="Arial" w:hAnsi="Arial"/>
                <w:sz w:val="18"/>
                <w:szCs w:val="18"/>
                <w:color w:val="auto"/>
              </w:rPr>
              <w:t>Total revenue</w:t>
            </w:r>
          </w:p>
        </w:tc>
        <w:tc>
          <w:tcPr>
            <w:tcW w:w="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9"/>
              <w:spacing w:after="0"/>
              <w:rPr>
                <w:sz w:val="20"/>
                <w:szCs w:val="20"/>
                <w:color w:val="auto"/>
              </w:rPr>
            </w:pPr>
            <w:r>
              <w:rPr>
                <w:rFonts w:ascii="Arial" w:cs="Arial" w:eastAsia="Arial" w:hAnsi="Arial"/>
                <w:sz w:val="18"/>
                <w:szCs w:val="18"/>
                <w:color w:val="auto"/>
              </w:rPr>
              <w:t>5,244.7</w:t>
            </w:r>
          </w:p>
        </w:tc>
        <w:tc>
          <w:tcPr>
            <w:tcW w:w="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9"/>
              <w:spacing w:after="0"/>
              <w:rPr>
                <w:sz w:val="20"/>
                <w:szCs w:val="20"/>
                <w:color w:val="auto"/>
              </w:rPr>
            </w:pPr>
            <w:r>
              <w:rPr>
                <w:rFonts w:ascii="Arial" w:cs="Arial" w:eastAsia="Arial" w:hAnsi="Arial"/>
                <w:sz w:val="18"/>
                <w:szCs w:val="18"/>
                <w:color w:val="auto"/>
              </w:rPr>
              <w:t>5,121.8</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4,513.7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-145415</wp:posOffset>
            </wp:positionV>
            <wp:extent cx="5702300" cy="1797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702300" cy="179705"/>
                    </a:xfrm>
                    <a:prstGeom prst="rect">
                      <a:avLst/>
                    </a:prstGeom>
                    <a:noFill/>
                  </pic:spPr>
                </pic:pic>
              </a:graphicData>
            </a:graphic>
          </wp:anchor>
        </w:drawing>
      </w:r>
    </w:p>
    <w:p>
      <w:pPr>
        <w:spacing w:after="0" w:line="14" w:lineRule="exact"/>
        <w:rPr>
          <w:sz w:val="20"/>
          <w:szCs w:val="20"/>
          <w:color w:val="auto"/>
        </w:rPr>
      </w:pPr>
    </w:p>
    <w:p>
      <w:pPr>
        <w:ind w:left="1400" w:hanging="374"/>
        <w:spacing w:after="0"/>
        <w:tabs>
          <w:tab w:leader="none" w:pos="14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Other revenue is primarily comprised of truckload shipments.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and cash equivalents include demand deposits and highly liquid investments purchased with maturities of three months or less. Under the Company’s cash management system, checks issued but not presented to banks frequently result in book overdraft balances for accounting purposes which are classified within accounts payable in the accompanying consolidated balance sheets. The change in book overdrafts is reported as a component of operating cash flows for accounts payable as they do not represent bank overdrafts.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9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The levels of inputs used to measure fair value are:</w:t>
      </w:r>
    </w:p>
    <w:p>
      <w:pPr>
        <w:spacing w:after="0" w:line="62" w:lineRule="exact"/>
        <w:rPr>
          <w:sz w:val="20"/>
          <w:szCs w:val="20"/>
          <w:color w:val="auto"/>
        </w:rPr>
      </w:pPr>
    </w:p>
    <w:p>
      <w:pPr>
        <w:ind w:left="1020" w:hanging="504"/>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Level 1 — Quoted prices for identical instruments in active markets;</w:t>
      </w:r>
    </w:p>
    <w:p>
      <w:pPr>
        <w:spacing w:after="0" w:line="116" w:lineRule="exact"/>
        <w:rPr>
          <w:rFonts w:ascii="Arial" w:cs="Arial" w:eastAsia="Arial" w:hAnsi="Arial"/>
          <w:sz w:val="18"/>
          <w:szCs w:val="18"/>
          <w:color w:val="auto"/>
        </w:rPr>
      </w:pPr>
    </w:p>
    <w:p>
      <w:pPr>
        <w:ind w:left="1020" w:hanging="504"/>
        <w:spacing w:after="0" w:line="277"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Level 2 — Quoted prices for similar instruments in active markets; quoted prices for identical or similar instruments in markets that are not active; and model-derived valuations in which all significant inputs are observable in active markets; and</w:t>
      </w:r>
    </w:p>
    <w:p>
      <w:pPr>
        <w:spacing w:after="0" w:line="61" w:lineRule="exact"/>
        <w:rPr>
          <w:rFonts w:ascii="Arial" w:cs="Arial" w:eastAsia="Arial" w:hAnsi="Arial"/>
          <w:sz w:val="18"/>
          <w:szCs w:val="18"/>
          <w:color w:val="auto"/>
        </w:rPr>
      </w:pPr>
    </w:p>
    <w:p>
      <w:pPr>
        <w:ind w:left="1020" w:hanging="504"/>
        <w:spacing w:after="0" w:line="277"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Level 3 — Valuations based on inputs that are unobservable, generally utilizing pricing models or other valuation techniques that reflect management’s judgment and estimates.</w:t>
      </w:r>
    </w:p>
    <w:p>
      <w:pPr>
        <w:spacing w:after="0" w:line="1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carrying value of cash and cash equivalents, accounts receivable and accounts payable approximates their fair value due to the short-term nature of these instruments.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our long-term debt is included in Note 5 to the Consolidated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our pension plan assets is included in Note 4 to the Consolidated Financial Statements.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Restricted cash amounts held in escrow are either cash or, at times, invested in money market accounts and are recorded at fair value based on quoted market prices and have typically been level 1 fair value assets. As of December 31, 2022 and 2021 we had $3.9 million and $4.1 million restricted amounts held in escrow, respectively.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and Other Concentration Risks</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provide services and extend credit based on an evaluation of the customer’s financial condition, without requiring collateral. Exposure to losses on receivables is principally dependent on each customer’s financial condition. We monitor our exposure for credit losses and maintain allowances for anticipated losses.</w:t>
      </w:r>
    </w:p>
    <w:p>
      <w:pPr>
        <w:spacing w:after="0" w:line="14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At December 31, 2022, approximately 82% of our labor force was subject to collective bargaining agreements. In 2019, we agreed to a new labor agreement that, among other things, extended the expiration date of our primary labor agreement from March 31, 2019 to March 31, 2024. The agreement also updated the contribution rates under the multi-employer pension plans to which we contribute as discussed in Note 4 to the consolidated financial statements. The current agreement provides for wage and benefits increases through the term of the agreement. Finally, the agreement provides for certain changes to work rules and our use of purchased transportation.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Company’s revenues are primarily derived from the transportation services we provide through the delivery of goods over the duration of a shipment. The bill of lading is a legally enforceable agreement between two parties, and where collectability is probable this document serves as the contract as our basis to recognized revenue under ASC 606- Revenue Recognition. The Company has elected to expense initial direct costs as incurred because the average shipment cycle is less than one week. The Company recognizes revenue and substantially all the purchased transportation expenses on a gross basis as we control the service provided to our customer. We direct the use of the transportation service provided and remain responsible for the complete and proper shipment. We recognize revenue for our performance obligations under our customer contracts over time, as our customers receive the benefits of our services in accordance with ASC 606- Revenue Recognition.</w:t>
      </w:r>
    </w:p>
    <w:p>
      <w:pPr>
        <w:spacing w:after="0" w:line="14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Inherent within our revenue recognition practices are estimates for revenue associated with shipments in transit. For shipments in transit, we record revenue based on the percentage of service completed as of the period end and recognize delivery costs as incurred. The percentage of service completed for each shipment is based on how far along in the shipment cycle each shipment is in relation to standard transit days. The estimated portion of revenue for all shipments in transit is accumulated at period end and recognized as operating revenue. The significance of in transit shipments to the consolidated financial statements is limited due to the short duration, generally less than one week, of the average shipment cycle. At December 31, 2022 and 2021, our consolidated financial statements included reductions to operating revenue and accounts receivable to reflect in transit shipments of $32.3 million and $41.3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Revenue-related Reserves</w:t>
      </w:r>
    </w:p>
    <w:p>
      <w:pPr>
        <w:spacing w:after="0" w:line="20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Given the nature of our transportation services, adjustments may arise which create variability when establishing the transaction price used to recognize revenue. We have a high volume of performance obligations with similar characteristics; therefore we primarily use historical trends to arrive at estimated reserves. Rerate reserves, which are common for LTL carriers, are established during a process to capture initial ratings that may require adjustment and may be identified based on many factors, including subsequent weight and commodity verifications. Although the majority of rerating occurs in the same month as the original rating, a portion occurs during subsequent periods. At December 31, 2022 and 2021, our consolidated financial statements included a rerate reserve as a reduction to revenue and accounts receivable of $22.5 million and $14.1 million, respectively.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Expected Credit Losses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record an allowance for expected credit losses based on expected future losses. When estimating the expected future losses, we consider historical uncollectible amounts, known factors surrounding specific customers, as well as overall collection trends. Our allowance for expected credit losses totaled $23.7 million and $13.2 million as of December 31, 2022 and 2021, respectively.</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Self-Insurance Accruals for Claims</w:t>
      </w:r>
    </w:p>
    <w:p>
      <w:pPr>
        <w:spacing w:after="0" w:line="18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Claims and insurance accruals, both current and long-term, primarily reflect the estimated settlement cost of claims for workers’ compensation and property damage and liability claims (also referred to as third-party liability claims), and include cargo loss and damage not covered by insurance. We establish and modify reserve estimates for workers’ compensation and third-party liability claims primarily based upon actuarial analyses prepared by independent actuaries. These reserves are discounted to present value using a risk-free rate based on the year of occurrence. The risk-free rate is the U.S. Treasury rate for maturities that match the expected payout of such claims and was 2.8%, 0.4% and 0.5% for workers’ compensation claims incurred as of December 31, 2022, 2021 and 2020, respectively. The rate was 2.7%, 0.2% and 0.5% for third-party liability claims incurred as of December 31, 2022, 2021 and 2020, respectively. The process of determining reserve requirements utilizes historical loss development factors and involves an evaluation of accident frequency and severity, claims management, changes in health care costs and certain future administrative costs. The effect of future inflation for costs is considered in the actuarial analysis. Adjustments to previously established reserves are included in operating results in the year of adjustment.</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Expected aggregate undiscounted amounts and material changes to these amounts related to workers’ compensation and third-party liability claims,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are presented below:</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Workers’</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center"/>
              <w:ind w:right="214"/>
              <w:spacing w:after="0"/>
              <w:rPr>
                <w:sz w:val="20"/>
                <w:szCs w:val="20"/>
                <w:color w:val="auto"/>
              </w:rPr>
            </w:pPr>
            <w:r>
              <w:rPr>
                <w:rFonts w:ascii="Arial" w:cs="Arial" w:eastAsia="Arial" w:hAnsi="Arial"/>
                <w:sz w:val="14"/>
                <w:szCs w:val="14"/>
                <w:b w:val="1"/>
                <w:bCs w:val="1"/>
                <w:color w:val="auto"/>
                <w:w w:val="99"/>
              </w:rPr>
              <w:t>Third-Party</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4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center"/>
              <w:ind w:right="194"/>
              <w:spacing w:after="0" w:line="149" w:lineRule="exact"/>
              <w:rPr>
                <w:sz w:val="20"/>
                <w:szCs w:val="20"/>
                <w:color w:val="auto"/>
              </w:rPr>
            </w:pPr>
            <w:r>
              <w:rPr>
                <w:rFonts w:ascii="Arial" w:cs="Arial" w:eastAsia="Arial" w:hAnsi="Arial"/>
                <w:sz w:val="14"/>
                <w:szCs w:val="14"/>
                <w:b w:val="1"/>
                <w:bCs w:val="1"/>
                <w:color w:val="auto"/>
                <w:w w:val="98"/>
              </w:rPr>
              <w:t>Liability</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640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w w:val="94"/>
              </w:rPr>
              <w:t>Compensation</w:t>
            </w: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14"/>
              <w:spacing w:after="0"/>
              <w:rPr>
                <w:sz w:val="20"/>
                <w:szCs w:val="20"/>
                <w:color w:val="auto"/>
              </w:rPr>
            </w:pPr>
            <w:r>
              <w:rPr>
                <w:rFonts w:ascii="Arial" w:cs="Arial" w:eastAsia="Arial" w:hAnsi="Arial"/>
                <w:sz w:val="14"/>
                <w:szCs w:val="14"/>
                <w:b w:val="1"/>
                <w:bCs w:val="1"/>
                <w:color w:val="auto"/>
                <w:w w:val="91"/>
              </w:rPr>
              <w:t>Claims</w:t>
            </w:r>
          </w:p>
        </w:tc>
        <w:tc>
          <w:tcPr>
            <w:tcW w:w="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4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Undiscounted settlement cost estimate at December 31, 2020</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275.2</w:t>
            </w:r>
          </w:p>
        </w:tc>
        <w:tc>
          <w:tcPr>
            <w:tcW w:w="16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70.0</w:t>
            </w: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345.2</w:t>
            </w:r>
          </w:p>
        </w:tc>
        <w:tc>
          <w:tcPr>
            <w:tcW w:w="0" w:type="dxa"/>
            <w:vAlign w:val="bottom"/>
          </w:tcPr>
          <w:p>
            <w:pPr>
              <w:spacing w:after="0"/>
              <w:rPr>
                <w:sz w:val="1"/>
                <w:szCs w:val="1"/>
                <w:color w:val="auto"/>
              </w:rPr>
            </w:pPr>
          </w:p>
        </w:tc>
      </w:tr>
      <w:tr>
        <w:trPr>
          <w:trHeight w:val="236"/>
        </w:trPr>
        <w:tc>
          <w:tcPr>
            <w:tcW w:w="6400" w:type="dxa"/>
            <w:vAlign w:val="bottom"/>
          </w:tcPr>
          <w:p>
            <w:pPr>
              <w:ind w:left="20"/>
              <w:spacing w:after="0"/>
              <w:rPr>
                <w:sz w:val="20"/>
                <w:szCs w:val="20"/>
                <w:color w:val="auto"/>
              </w:rPr>
            </w:pPr>
            <w:r>
              <w:rPr>
                <w:rFonts w:ascii="Arial" w:cs="Arial" w:eastAsia="Arial" w:hAnsi="Arial"/>
                <w:sz w:val="18"/>
                <w:szCs w:val="18"/>
                <w:color w:val="auto"/>
              </w:rPr>
              <w:t>Estimated settlement cost for 2021 claims</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53"/>
              <w:spacing w:after="0"/>
              <w:rPr>
                <w:sz w:val="20"/>
                <w:szCs w:val="20"/>
                <w:color w:val="auto"/>
              </w:rPr>
            </w:pPr>
            <w:r>
              <w:rPr>
                <w:rFonts w:ascii="Arial" w:cs="Arial" w:eastAsia="Arial" w:hAnsi="Arial"/>
                <w:sz w:val="18"/>
                <w:szCs w:val="18"/>
                <w:color w:val="auto"/>
              </w:rPr>
              <w:t>92.4</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38.1</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130.5</w:t>
            </w:r>
          </w:p>
        </w:tc>
        <w:tc>
          <w:tcPr>
            <w:tcW w:w="0" w:type="dxa"/>
            <w:vAlign w:val="bottom"/>
          </w:tcPr>
          <w:p>
            <w:pPr>
              <w:spacing w:after="0"/>
              <w:rPr>
                <w:sz w:val="1"/>
                <w:szCs w:val="1"/>
                <w:color w:val="auto"/>
              </w:rPr>
            </w:pPr>
          </w:p>
        </w:tc>
      </w:tr>
      <w:tr>
        <w:trPr>
          <w:trHeight w:val="249"/>
        </w:trPr>
        <w:tc>
          <w:tcPr>
            <w:tcW w:w="6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Claim payments, net of recoveries</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(94.8 )</w:t>
            </w: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(41.0 )</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(135.8 )</w:t>
            </w:r>
          </w:p>
        </w:tc>
        <w:tc>
          <w:tcPr>
            <w:tcW w:w="0" w:type="dxa"/>
            <w:vAlign w:val="bottom"/>
          </w:tcPr>
          <w:p>
            <w:pPr>
              <w:spacing w:after="0"/>
              <w:rPr>
                <w:sz w:val="1"/>
                <w:szCs w:val="1"/>
                <w:color w:val="auto"/>
              </w:rPr>
            </w:pPr>
          </w:p>
        </w:tc>
      </w:tr>
      <w:tr>
        <w:trPr>
          <w:trHeight w:val="236"/>
        </w:trPr>
        <w:tc>
          <w:tcPr>
            <w:tcW w:w="6400" w:type="dxa"/>
            <w:vAlign w:val="bottom"/>
          </w:tcPr>
          <w:p>
            <w:pPr>
              <w:ind w:left="20"/>
              <w:spacing w:after="0"/>
              <w:rPr>
                <w:sz w:val="20"/>
                <w:szCs w:val="20"/>
                <w:color w:val="auto"/>
              </w:rPr>
            </w:pPr>
            <w:r>
              <w:rPr>
                <w:rFonts w:ascii="Arial" w:cs="Arial" w:eastAsia="Arial" w:hAnsi="Arial"/>
                <w:sz w:val="18"/>
                <w:szCs w:val="18"/>
                <w:color w:val="auto"/>
              </w:rPr>
              <w:t>Change in estimated settlement cost for prior claim years</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(5.5 )</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38.6</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42"/>
        </w:trPr>
        <w:tc>
          <w:tcPr>
            <w:tcW w:w="64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Undiscounted settlement cost estimate at December 31, 2021</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267.3</w:t>
            </w: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105.7</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373.0</w:t>
            </w:r>
          </w:p>
        </w:tc>
        <w:tc>
          <w:tcPr>
            <w:tcW w:w="0" w:type="dxa"/>
            <w:vAlign w:val="bottom"/>
          </w:tcPr>
          <w:p>
            <w:pPr>
              <w:spacing w:after="0"/>
              <w:rPr>
                <w:sz w:val="1"/>
                <w:szCs w:val="1"/>
                <w:color w:val="auto"/>
              </w:rPr>
            </w:pPr>
          </w:p>
        </w:tc>
      </w:tr>
      <w:tr>
        <w:trPr>
          <w:trHeight w:val="236"/>
        </w:trPr>
        <w:tc>
          <w:tcPr>
            <w:tcW w:w="6400" w:type="dxa"/>
            <w:vAlign w:val="bottom"/>
          </w:tcPr>
          <w:p>
            <w:pPr>
              <w:ind w:left="20"/>
              <w:spacing w:after="0"/>
              <w:rPr>
                <w:sz w:val="20"/>
                <w:szCs w:val="20"/>
                <w:color w:val="auto"/>
              </w:rPr>
            </w:pPr>
            <w:r>
              <w:rPr>
                <w:rFonts w:ascii="Arial" w:cs="Arial" w:eastAsia="Arial" w:hAnsi="Arial"/>
                <w:sz w:val="18"/>
                <w:szCs w:val="18"/>
                <w:color w:val="auto"/>
              </w:rPr>
              <w:t>Estimated settlement cost for 2022 claims</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53"/>
              <w:spacing w:after="0"/>
              <w:rPr>
                <w:sz w:val="20"/>
                <w:szCs w:val="20"/>
                <w:color w:val="auto"/>
              </w:rPr>
            </w:pPr>
            <w:r>
              <w:rPr>
                <w:rFonts w:ascii="Arial" w:cs="Arial" w:eastAsia="Arial" w:hAnsi="Arial"/>
                <w:sz w:val="18"/>
                <w:szCs w:val="18"/>
                <w:color w:val="auto"/>
              </w:rPr>
              <w:t>84.3</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36.6</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120.9</w:t>
            </w:r>
          </w:p>
        </w:tc>
        <w:tc>
          <w:tcPr>
            <w:tcW w:w="0" w:type="dxa"/>
            <w:vAlign w:val="bottom"/>
          </w:tcPr>
          <w:p>
            <w:pPr>
              <w:spacing w:after="0"/>
              <w:rPr>
                <w:sz w:val="1"/>
                <w:szCs w:val="1"/>
                <w:color w:val="auto"/>
              </w:rPr>
            </w:pPr>
          </w:p>
        </w:tc>
      </w:tr>
      <w:tr>
        <w:trPr>
          <w:trHeight w:val="249"/>
        </w:trPr>
        <w:tc>
          <w:tcPr>
            <w:tcW w:w="6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Claim payments, net of recoveries</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(86.5 )</w:t>
            </w: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(76.8 )</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(163.3 )</w:t>
            </w:r>
          </w:p>
        </w:tc>
        <w:tc>
          <w:tcPr>
            <w:tcW w:w="0" w:type="dxa"/>
            <w:vAlign w:val="bottom"/>
          </w:tcPr>
          <w:p>
            <w:pPr>
              <w:spacing w:after="0"/>
              <w:rPr>
                <w:sz w:val="1"/>
                <w:szCs w:val="1"/>
                <w:color w:val="auto"/>
              </w:rPr>
            </w:pPr>
          </w:p>
        </w:tc>
      </w:tr>
      <w:tr>
        <w:trPr>
          <w:trHeight w:val="236"/>
        </w:trPr>
        <w:tc>
          <w:tcPr>
            <w:tcW w:w="6400" w:type="dxa"/>
            <w:vAlign w:val="bottom"/>
          </w:tcPr>
          <w:p>
            <w:pPr>
              <w:ind w:left="20"/>
              <w:spacing w:after="0"/>
              <w:rPr>
                <w:sz w:val="20"/>
                <w:szCs w:val="20"/>
                <w:color w:val="auto"/>
              </w:rPr>
            </w:pPr>
            <w:r>
              <w:rPr>
                <w:rFonts w:ascii="Arial" w:cs="Arial" w:eastAsia="Arial" w:hAnsi="Arial"/>
                <w:sz w:val="18"/>
                <w:szCs w:val="18"/>
                <w:color w:val="auto"/>
              </w:rPr>
              <w:t>Change in estimated settlement cost for prior claim years</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(20.4 )</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36.9</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36"/>
        </w:trPr>
        <w:tc>
          <w:tcPr>
            <w:tcW w:w="64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Undiscounted settlement cost estimate at December 31, 2022</w:t>
            </w:r>
          </w:p>
        </w:tc>
        <w:tc>
          <w:tcPr>
            <w:tcW w:w="1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244.7</w:t>
            </w:r>
          </w:p>
        </w:tc>
        <w:tc>
          <w:tcPr>
            <w:tcW w:w="1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102.4</w:t>
            </w:r>
          </w:p>
        </w:tc>
        <w:tc>
          <w:tcPr>
            <w:tcW w:w="160" w:type="dxa"/>
            <w:vAlign w:val="bottom"/>
            <w:tcBorders>
              <w:bottom w:val="single" w:sz="8" w:color="auto"/>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347.1</w:t>
            </w:r>
          </w:p>
        </w:tc>
        <w:tc>
          <w:tcPr>
            <w:tcW w:w="0" w:type="dxa"/>
            <w:vAlign w:val="bottom"/>
          </w:tcPr>
          <w:p>
            <w:pPr>
              <w:spacing w:after="0"/>
              <w:rPr>
                <w:sz w:val="1"/>
                <w:szCs w:val="1"/>
                <w:color w:val="auto"/>
              </w:rPr>
            </w:pPr>
          </w:p>
        </w:tc>
      </w:tr>
      <w:tr>
        <w:trPr>
          <w:trHeight w:val="236"/>
        </w:trPr>
        <w:tc>
          <w:tcPr>
            <w:tcW w:w="6400" w:type="dxa"/>
            <w:vAlign w:val="bottom"/>
          </w:tcPr>
          <w:p>
            <w:pPr>
              <w:ind w:left="120"/>
              <w:spacing w:after="0"/>
              <w:rPr>
                <w:sz w:val="20"/>
                <w:szCs w:val="20"/>
                <w:color w:val="auto"/>
              </w:rPr>
            </w:pPr>
            <w:r>
              <w:rPr>
                <w:rFonts w:ascii="Arial" w:cs="Arial" w:eastAsia="Arial" w:hAnsi="Arial"/>
                <w:sz w:val="18"/>
                <w:szCs w:val="18"/>
                <w:color w:val="auto"/>
              </w:rPr>
              <w:t>Discounted settlement cost estimate at December 31, 2022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53"/>
              <w:spacing w:after="0"/>
              <w:rPr>
                <w:sz w:val="20"/>
                <w:szCs w:val="20"/>
                <w:color w:val="auto"/>
              </w:rPr>
            </w:pPr>
            <w:r>
              <w:rPr>
                <w:rFonts w:ascii="Arial" w:cs="Arial" w:eastAsia="Arial" w:hAnsi="Arial"/>
                <w:sz w:val="18"/>
                <w:szCs w:val="18"/>
                <w:color w:val="auto"/>
              </w:rPr>
              <w:t>225.7</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99.5</w:t>
            </w: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325.2</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5107940</wp:posOffset>
            </wp:positionH>
            <wp:positionV relativeFrom="paragraph">
              <wp:posOffset>-187960</wp:posOffset>
            </wp:positionV>
            <wp:extent cx="102870" cy="18859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02870" cy="188595"/>
                    </a:xfrm>
                    <a:prstGeom prst="rect">
                      <a:avLst/>
                    </a:prstGeom>
                    <a:noFill/>
                  </pic:spPr>
                </pic:pic>
              </a:graphicData>
            </a:graphic>
          </wp:anchor>
        </w:drawing>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the amounts above, accrued settlement cost amounts for cargo claims and other insurance related amounts, none of which are discounted, totaled $16.4 million and $17.1 million at December 31, 2022 and 2021, respectively.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2" w:name="page43"/>
    <w:bookmarkEnd w:id="42"/>
    <w:p>
      <w:pPr>
        <w:jc w:val="both"/>
        <w:ind w:right="20"/>
        <w:spacing w:after="0" w:line="277" w:lineRule="auto"/>
        <w:rPr>
          <w:sz w:val="20"/>
          <w:szCs w:val="20"/>
          <w:color w:val="auto"/>
        </w:rPr>
      </w:pPr>
      <w:r>
        <w:rPr>
          <w:rFonts w:ascii="Arial" w:cs="Arial" w:eastAsia="Arial" w:hAnsi="Arial"/>
          <w:sz w:val="18"/>
          <w:szCs w:val="18"/>
          <w:color w:val="auto"/>
        </w:rPr>
        <w:t>Estimated cash payments to settle claims, exclusive of cargo claims, which were incurred on or before December 31, 2022, for the next five years and thereafter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Workers’</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center"/>
              <w:ind w:right="216"/>
              <w:spacing w:after="0"/>
              <w:rPr>
                <w:sz w:val="20"/>
                <w:szCs w:val="20"/>
                <w:color w:val="auto"/>
              </w:rPr>
            </w:pPr>
            <w:r>
              <w:rPr>
                <w:rFonts w:ascii="Arial" w:cs="Arial" w:eastAsia="Arial" w:hAnsi="Arial"/>
                <w:sz w:val="14"/>
                <w:szCs w:val="14"/>
                <w:b w:val="1"/>
                <w:bCs w:val="1"/>
                <w:color w:val="auto"/>
                <w:w w:val="99"/>
              </w:rPr>
              <w:t>Third-Party</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4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center"/>
              <w:ind w:right="196"/>
              <w:spacing w:after="0" w:line="149" w:lineRule="exact"/>
              <w:rPr>
                <w:sz w:val="20"/>
                <w:szCs w:val="20"/>
                <w:color w:val="auto"/>
              </w:rPr>
            </w:pPr>
            <w:r>
              <w:rPr>
                <w:rFonts w:ascii="Arial" w:cs="Arial" w:eastAsia="Arial" w:hAnsi="Arial"/>
                <w:sz w:val="14"/>
                <w:szCs w:val="14"/>
                <w:b w:val="1"/>
                <w:bCs w:val="1"/>
                <w:color w:val="auto"/>
                <w:w w:val="98"/>
              </w:rPr>
              <w:t>Liability</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640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w w:val="94"/>
              </w:rPr>
              <w:t>Compensation</w:t>
            </w: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16"/>
              <w:spacing w:after="0"/>
              <w:rPr>
                <w:sz w:val="20"/>
                <w:szCs w:val="20"/>
                <w:color w:val="auto"/>
              </w:rPr>
            </w:pPr>
            <w:r>
              <w:rPr>
                <w:rFonts w:ascii="Arial" w:cs="Arial" w:eastAsia="Arial" w:hAnsi="Arial"/>
                <w:sz w:val="14"/>
                <w:szCs w:val="14"/>
                <w:b w:val="1"/>
                <w:bCs w:val="1"/>
                <w:color w:val="auto"/>
                <w:w w:val="91"/>
              </w:rPr>
              <w:t>Claims</w:t>
            </w:r>
          </w:p>
        </w:tc>
        <w:tc>
          <w:tcPr>
            <w:tcW w:w="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70.0</w:t>
            </w:r>
          </w:p>
        </w:tc>
        <w:tc>
          <w:tcPr>
            <w:tcW w:w="16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36.2</w:t>
            </w: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106.2</w:t>
            </w:r>
          </w:p>
        </w:tc>
        <w:tc>
          <w:tcPr>
            <w:tcW w:w="0" w:type="dxa"/>
            <w:vAlign w:val="bottom"/>
          </w:tcPr>
          <w:p>
            <w:pPr>
              <w:spacing w:after="0"/>
              <w:rPr>
                <w:sz w:val="1"/>
                <w:szCs w:val="1"/>
                <w:color w:val="auto"/>
              </w:rPr>
            </w:pPr>
          </w:p>
        </w:tc>
      </w:tr>
      <w:tr>
        <w:trPr>
          <w:trHeight w:val="236"/>
        </w:trPr>
        <w:tc>
          <w:tcPr>
            <w:tcW w:w="6400" w:type="dxa"/>
            <w:vAlign w:val="bottom"/>
          </w:tcPr>
          <w:p>
            <w:pPr>
              <w:ind w:left="20"/>
              <w:spacing w:after="0"/>
              <w:rPr>
                <w:sz w:val="20"/>
                <w:szCs w:val="20"/>
                <w:color w:val="auto"/>
              </w:rPr>
            </w:pPr>
            <w:r>
              <w:rPr>
                <w:rFonts w:ascii="Arial" w:cs="Arial" w:eastAsia="Arial" w:hAnsi="Arial"/>
                <w:sz w:val="18"/>
                <w:szCs w:val="18"/>
                <w:color w:val="auto"/>
              </w:rPr>
              <w:t>2024</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54"/>
              <w:spacing w:after="0"/>
              <w:rPr>
                <w:sz w:val="20"/>
                <w:szCs w:val="20"/>
                <w:color w:val="auto"/>
              </w:rPr>
            </w:pPr>
            <w:r>
              <w:rPr>
                <w:rFonts w:ascii="Arial" w:cs="Arial" w:eastAsia="Arial" w:hAnsi="Arial"/>
                <w:sz w:val="18"/>
                <w:szCs w:val="18"/>
                <w:color w:val="auto"/>
              </w:rPr>
              <w:t>43.3</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ind w:right="36"/>
              <w:spacing w:after="0"/>
              <w:rPr>
                <w:sz w:val="20"/>
                <w:szCs w:val="20"/>
                <w:color w:val="auto"/>
              </w:rPr>
            </w:pPr>
            <w:r>
              <w:rPr>
                <w:rFonts w:ascii="Arial" w:cs="Arial" w:eastAsia="Arial" w:hAnsi="Arial"/>
                <w:sz w:val="18"/>
                <w:szCs w:val="18"/>
                <w:color w:val="auto"/>
              </w:rPr>
              <w:t>27.7</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49"/>
        </w:trPr>
        <w:tc>
          <w:tcPr>
            <w:tcW w:w="6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28.1</w:t>
            </w: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18.0</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36"/>
        </w:trPr>
        <w:tc>
          <w:tcPr>
            <w:tcW w:w="6400" w:type="dxa"/>
            <w:vAlign w:val="bottom"/>
          </w:tcPr>
          <w:p>
            <w:pPr>
              <w:ind w:left="20"/>
              <w:spacing w:after="0"/>
              <w:rPr>
                <w:sz w:val="20"/>
                <w:szCs w:val="20"/>
                <w:color w:val="auto"/>
              </w:rPr>
            </w:pPr>
            <w:r>
              <w:rPr>
                <w:rFonts w:ascii="Arial" w:cs="Arial" w:eastAsia="Arial" w:hAnsi="Arial"/>
                <w:sz w:val="18"/>
                <w:szCs w:val="18"/>
                <w:color w:val="auto"/>
              </w:rPr>
              <w:t>2026</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54"/>
              <w:spacing w:after="0"/>
              <w:rPr>
                <w:sz w:val="20"/>
                <w:szCs w:val="20"/>
                <w:color w:val="auto"/>
              </w:rPr>
            </w:pPr>
            <w:r>
              <w:rPr>
                <w:rFonts w:ascii="Arial" w:cs="Arial" w:eastAsia="Arial" w:hAnsi="Arial"/>
                <w:sz w:val="18"/>
                <w:szCs w:val="18"/>
                <w:color w:val="auto"/>
              </w:rPr>
              <w:t>18.2</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ind w:right="36"/>
              <w:spacing w:after="0"/>
              <w:rPr>
                <w:sz w:val="20"/>
                <w:szCs w:val="20"/>
                <w:color w:val="auto"/>
              </w:rPr>
            </w:pPr>
            <w:r>
              <w:rPr>
                <w:rFonts w:ascii="Arial" w:cs="Arial" w:eastAsia="Arial" w:hAnsi="Arial"/>
                <w:sz w:val="18"/>
                <w:szCs w:val="18"/>
                <w:color w:val="auto"/>
              </w:rPr>
              <w:t>10.8</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49"/>
        </w:trPr>
        <w:tc>
          <w:tcPr>
            <w:tcW w:w="6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2027</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13.2</w:t>
            </w: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5.5</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36"/>
        </w:trPr>
        <w:tc>
          <w:tcPr>
            <w:tcW w:w="640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71.9</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276"/>
        </w:trPr>
        <w:tc>
          <w:tcPr>
            <w:tcW w:w="6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244.7</w:t>
            </w:r>
          </w:p>
        </w:tc>
        <w:tc>
          <w:tcPr>
            <w:tcW w:w="1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102.4</w:t>
            </w:r>
          </w:p>
        </w:tc>
        <w:tc>
          <w:tcPr>
            <w:tcW w:w="1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347.1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5107940</wp:posOffset>
            </wp:positionH>
            <wp:positionV relativeFrom="paragraph">
              <wp:posOffset>-24765</wp:posOffset>
            </wp:positionV>
            <wp:extent cx="10287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5107940</wp:posOffset>
            </wp:positionH>
            <wp:positionV relativeFrom="paragraph">
              <wp:posOffset>-7620</wp:posOffset>
            </wp:positionV>
            <wp:extent cx="10287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-24765</wp:posOffset>
            </wp:positionV>
            <wp:extent cx="939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-7620</wp:posOffset>
            </wp:positionV>
            <wp:extent cx="939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various equity-based employee compensation plans, which are described more fully in Note 7 to our consolidated financial statements. We recognize compensation costs for non-vested shares based on the grant date fair value. For our equity grants, with no performance requirement, we recognize compensation cost on a straight-line basis over the requisite service period based on the grant-date fair value. For our performance-based awards, the Company expenses the grant date fair value of the awards which are probable of being earned in the performance period over the respective service period.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components of our property and equipment at cost at December 31: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2021</w:t>
            </w:r>
          </w:p>
        </w:tc>
      </w:tr>
      <w:tr>
        <w:trPr>
          <w:trHeight w:val="236"/>
        </w:trPr>
        <w:tc>
          <w:tcPr>
            <w:tcW w:w="7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Land</w:t>
            </w:r>
          </w:p>
        </w:tc>
        <w:tc>
          <w:tcPr>
            <w:tcW w:w="200" w:type="dxa"/>
            <w:vAlign w:val="bottom"/>
            <w:shd w:val="clear" w:color="auto" w:fill="CFF0FC"/>
          </w:tcPr>
          <w:p>
            <w:pPr>
              <w:spacing w:after="0"/>
              <w:rPr>
                <w:sz w:val="20"/>
                <w:szCs w:val="20"/>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230.7</w:t>
            </w:r>
          </w:p>
        </w:tc>
        <w:tc>
          <w:tcPr>
            <w:tcW w:w="160" w:type="dxa"/>
            <w:vAlign w:val="bottom"/>
            <w:shd w:val="clear" w:color="auto" w:fill="CFF0FC"/>
          </w:tcPr>
          <w:p>
            <w:pPr>
              <w:spacing w:after="0"/>
              <w:rPr>
                <w:sz w:val="20"/>
                <w:szCs w:val="20"/>
                <w:color w:val="auto"/>
              </w:rPr>
            </w:pP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235.4</w:t>
            </w:r>
          </w:p>
        </w:tc>
      </w:tr>
      <w:tr>
        <w:trPr>
          <w:trHeight w:val="236"/>
        </w:trPr>
        <w:tc>
          <w:tcPr>
            <w:tcW w:w="7500" w:type="dxa"/>
            <w:vAlign w:val="bottom"/>
          </w:tcPr>
          <w:p>
            <w:pPr>
              <w:ind w:left="20"/>
              <w:spacing w:after="0"/>
              <w:rPr>
                <w:sz w:val="20"/>
                <w:szCs w:val="20"/>
                <w:color w:val="auto"/>
              </w:rPr>
            </w:pPr>
            <w:r>
              <w:rPr>
                <w:rFonts w:ascii="Arial" w:cs="Arial" w:eastAsia="Arial" w:hAnsi="Arial"/>
                <w:sz w:val="18"/>
                <w:szCs w:val="18"/>
                <w:color w:val="auto"/>
              </w:rPr>
              <w:t>Structures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782.8</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798.0</w:t>
            </w:r>
          </w:p>
        </w:tc>
      </w:tr>
      <w:tr>
        <w:trPr>
          <w:trHeight w:val="249"/>
        </w:trPr>
        <w:tc>
          <w:tcPr>
            <w:tcW w:w="7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 equipment</w:t>
            </w:r>
          </w:p>
        </w:tc>
        <w:tc>
          <w:tcPr>
            <w:tcW w:w="2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1,455.2</w:t>
            </w:r>
          </w:p>
        </w:tc>
        <w:tc>
          <w:tcPr>
            <w:tcW w:w="1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1,537.1</w:t>
            </w:r>
          </w:p>
        </w:tc>
      </w:tr>
      <w:tr>
        <w:trPr>
          <w:trHeight w:val="236"/>
        </w:trPr>
        <w:tc>
          <w:tcPr>
            <w:tcW w:w="7500" w:type="dxa"/>
            <w:vAlign w:val="bottom"/>
          </w:tcPr>
          <w:p>
            <w:pPr>
              <w:ind w:left="20"/>
              <w:spacing w:after="0"/>
              <w:rPr>
                <w:sz w:val="20"/>
                <w:szCs w:val="20"/>
                <w:color w:val="auto"/>
              </w:rPr>
            </w:pPr>
            <w:r>
              <w:rPr>
                <w:rFonts w:ascii="Arial" w:cs="Arial" w:eastAsia="Arial" w:hAnsi="Arial"/>
                <w:sz w:val="18"/>
                <w:szCs w:val="18"/>
                <w:color w:val="auto"/>
              </w:rPr>
              <w:t>Technology equipment and software</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412.9</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372.3</w:t>
            </w:r>
          </w:p>
        </w:tc>
      </w:tr>
      <w:tr>
        <w:trPr>
          <w:trHeight w:val="243"/>
        </w:trPr>
        <w:tc>
          <w:tcPr>
            <w:tcW w:w="7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including miscellaneous field operations equipment</w:t>
            </w:r>
          </w:p>
        </w:tc>
        <w:tc>
          <w:tcPr>
            <w:tcW w:w="2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227.4</w:t>
            </w:r>
          </w:p>
        </w:tc>
        <w:tc>
          <w:tcPr>
            <w:tcW w:w="1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221.8</w:t>
            </w:r>
          </w:p>
        </w:tc>
      </w:tr>
      <w:tr>
        <w:trPr>
          <w:trHeight w:val="236"/>
        </w:trPr>
        <w:tc>
          <w:tcPr>
            <w:tcW w:w="7500" w:type="dxa"/>
            <w:vAlign w:val="bottom"/>
          </w:tcPr>
          <w:p>
            <w:pPr>
              <w:ind w:left="20"/>
              <w:spacing w:after="0"/>
              <w:rPr>
                <w:sz w:val="20"/>
                <w:szCs w:val="20"/>
                <w:color w:val="auto"/>
              </w:rPr>
            </w:pPr>
            <w:r>
              <w:rPr>
                <w:rFonts w:ascii="Arial" w:cs="Arial" w:eastAsia="Arial" w:hAnsi="Arial"/>
                <w:sz w:val="18"/>
                <w:szCs w:val="18"/>
                <w:color w:val="auto"/>
              </w:rPr>
              <w:t>Total property and equipment, at cost</w:t>
            </w:r>
          </w:p>
        </w:tc>
        <w:tc>
          <w:tcPr>
            <w:tcW w:w="5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3,109.0</w:t>
            </w:r>
          </w:p>
        </w:tc>
        <w:tc>
          <w:tcPr>
            <w:tcW w:w="5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3,164.6</w:t>
            </w:r>
          </w:p>
        </w:tc>
      </w:tr>
      <w:tr>
        <w:trPr>
          <w:trHeight w:val="20"/>
        </w:trPr>
        <w:tc>
          <w:tcPr>
            <w:tcW w:w="7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5964555</wp:posOffset>
            </wp:positionH>
            <wp:positionV relativeFrom="paragraph">
              <wp:posOffset>-187960</wp:posOffset>
            </wp:positionV>
            <wp:extent cx="111125" cy="18859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11125" cy="188595"/>
                    </a:xfrm>
                    <a:prstGeom prst="rect">
                      <a:avLst/>
                    </a:prstGeom>
                    <a:noFill/>
                  </pic:spPr>
                </pic:pic>
              </a:graphicData>
            </a:graphic>
          </wp:anchor>
        </w:drawing>
      </w:r>
    </w:p>
    <w:p>
      <w:pPr>
        <w:spacing w:after="0" w:line="1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carry property and equipment at cost less accumulated depreciation. We compute depreciation using the straight-line method based on the following service lives:</w:t>
      </w:r>
    </w:p>
    <w:p>
      <w:pPr>
        <w:spacing w:after="0" w:line="175" w:lineRule="exact"/>
        <w:rPr>
          <w:sz w:val="20"/>
          <w:szCs w:val="20"/>
          <w:color w:val="auto"/>
        </w:rPr>
      </w:pPr>
    </w:p>
    <w:p>
      <w:pPr>
        <w:ind w:left="8220"/>
        <w:spacing w:after="0"/>
        <w:rPr>
          <w:sz w:val="20"/>
          <w:szCs w:val="20"/>
          <w:color w:val="auto"/>
        </w:rPr>
      </w:pPr>
      <w:r>
        <w:rPr>
          <w:rFonts w:ascii="Arial" w:cs="Arial" w:eastAsia="Arial" w:hAnsi="Arial"/>
          <w:sz w:val="14"/>
          <w:szCs w:val="14"/>
          <w:b w:val="1"/>
          <w:bCs w:val="1"/>
          <w:color w:val="auto"/>
        </w:rPr>
        <w:t>Years</w:t>
      </w:r>
    </w:p>
    <w:p>
      <w:pPr>
        <w:spacing w:after="0" w:line="24" w:lineRule="exact"/>
        <w:rPr>
          <w:sz w:val="20"/>
          <w:szCs w:val="20"/>
          <w:color w:val="auto"/>
        </w:rPr>
      </w:pPr>
    </w:p>
    <w:tbl>
      <w:tblPr>
        <w:tblLayout w:type="fixed"/>
        <w:tblInd w:w="2260" w:type="dxa"/>
        <w:tblCellMar>
          <w:top w:w="0" w:type="dxa"/>
          <w:left w:w="0" w:type="dxa"/>
          <w:bottom w:w="0" w:type="dxa"/>
          <w:right w:w="0" w:type="dxa"/>
        </w:tblCellMar>
      </w:tblPr>
      <w:tr>
        <w:trPr>
          <w:trHeight w:val="236"/>
        </w:trPr>
        <w:tc>
          <w:tcPr>
            <w:tcW w:w="54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Structures</w:t>
            </w:r>
          </w:p>
        </w:tc>
        <w:tc>
          <w:tcPr>
            <w:tcW w:w="140" w:type="dxa"/>
            <w:vAlign w:val="bottom"/>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- 30</w:t>
            </w:r>
          </w:p>
        </w:tc>
      </w:tr>
      <w:tr>
        <w:trPr>
          <w:trHeight w:val="236"/>
        </w:trPr>
        <w:tc>
          <w:tcPr>
            <w:tcW w:w="5400" w:type="dxa"/>
            <w:vAlign w:val="bottom"/>
          </w:tcPr>
          <w:p>
            <w:pPr>
              <w:ind w:left="20"/>
              <w:spacing w:after="0"/>
              <w:rPr>
                <w:sz w:val="20"/>
                <w:szCs w:val="20"/>
                <w:color w:val="auto"/>
              </w:rPr>
            </w:pPr>
            <w:r>
              <w:rPr>
                <w:rFonts w:ascii="Arial" w:cs="Arial" w:eastAsia="Arial" w:hAnsi="Arial"/>
                <w:sz w:val="18"/>
                <w:szCs w:val="18"/>
                <w:color w:val="auto"/>
              </w:rPr>
              <w:t>Revenue equipment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340" w:type="dxa"/>
            <w:vAlign w:val="bottom"/>
          </w:tcPr>
          <w:p>
            <w:pPr>
              <w:jc w:val="right"/>
              <w:spacing w:after="0"/>
              <w:rPr>
                <w:sz w:val="20"/>
                <w:szCs w:val="20"/>
                <w:color w:val="auto"/>
              </w:rPr>
            </w:pPr>
            <w:r>
              <w:rPr>
                <w:rFonts w:ascii="Arial" w:cs="Arial" w:eastAsia="Arial" w:hAnsi="Arial"/>
                <w:sz w:val="18"/>
                <w:szCs w:val="18"/>
                <w:color w:val="auto"/>
              </w:rPr>
              <w:t>- 20</w:t>
            </w:r>
          </w:p>
        </w:tc>
      </w:tr>
      <w:tr>
        <w:trPr>
          <w:trHeight w:val="249"/>
        </w:trPr>
        <w:tc>
          <w:tcPr>
            <w:tcW w:w="5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Technology equipment and software</w:t>
            </w:r>
          </w:p>
        </w:tc>
        <w:tc>
          <w:tcPr>
            <w:tcW w:w="1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3 - 7</w:t>
            </w: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Other</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340" w:type="dxa"/>
            <w:vAlign w:val="bottom"/>
          </w:tcPr>
          <w:p>
            <w:pPr>
              <w:jc w:val="right"/>
              <w:spacing w:after="0"/>
              <w:rPr>
                <w:sz w:val="20"/>
                <w:szCs w:val="20"/>
                <w:color w:val="auto"/>
              </w:rPr>
            </w:pPr>
            <w:r>
              <w:rPr>
                <w:rFonts w:ascii="Arial" w:cs="Arial" w:eastAsia="Arial" w:hAnsi="Arial"/>
                <w:sz w:val="18"/>
                <w:szCs w:val="18"/>
                <w:color w:val="auto"/>
              </w:rPr>
              <w:t>- 10</w:t>
            </w:r>
          </w:p>
        </w:tc>
      </w:tr>
    </w:tbl>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For the years ended December 31, 2022, 2021 and 2020, depreciation expense was $136.9 million, $137.1 million and $133.0 million, respectively.</w:t>
      </w:r>
    </w:p>
    <w:p>
      <w:pPr>
        <w:spacing w:after="0" w:line="23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charge maintenance and repairs to expense as incurred and betterments are capitalized. The cost of replacement tires is expensed at the time those tires are placed into service, as is the case with other repair and maintenance costs. Leasehold improvements are capitalized and amortized over the shorter of their useful lives or the remaining lease term.</w:t>
      </w:r>
    </w:p>
    <w:p>
      <w:pPr>
        <w:spacing w:after="0" w:line="14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capital expenditures focus primarily on the replacement of revenue equipment, investments in information technology and improvements to land and structures. In addition to purchasing new revenue equipment, we also rebuild the engines of our tractors (at certain time or mile intervals). Because rebuilding an engine increases its useful life, we capitalize these costs and depreciate over the remaining useful life of the unit. The cost of engines on newly acquired revenue equipment is capitalized and depreciated over the estimated useful life of the related equipment.</w:t>
      </w:r>
    </w:p>
    <w:p>
      <w:pPr>
        <w:spacing w:after="0" w:line="12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Our investment in technology equipment and software consists primarily of freight movement, automation, administrative, and related software. The Company capitalizes certain costs associated with developing or obtaining internal-use software. Capitalizable costs include external direct costs of materials and services utilized in developing or obtaining the software and payroll and payroll-related costs for employees directly associated with the development of the project.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3" w:name="page44"/>
    <w:bookmarkEnd w:id="43"/>
    <w:p>
      <w:pPr>
        <w:jc w:val="both"/>
        <w:spacing w:after="0" w:line="311" w:lineRule="auto"/>
        <w:rPr>
          <w:sz w:val="20"/>
          <w:szCs w:val="20"/>
          <w:color w:val="auto"/>
        </w:rPr>
      </w:pPr>
      <w:r>
        <w:rPr>
          <w:rFonts w:ascii="Arial" w:cs="Arial" w:eastAsia="Arial" w:hAnsi="Arial"/>
          <w:sz w:val="16"/>
          <w:szCs w:val="16"/>
          <w:color w:val="auto"/>
        </w:rPr>
        <w:t>Long-lived assets, which include property and equipment, are reviewed for impairment when events or changes in circumstances indicate that the carrying amount of the asset group may not be recoverable. If impairment indicators are present and the estimated future undiscounted cash flows expected to be generated by that asset group are less than the carrying value of the long-lived assets, the carrying value would be reduced to the estimated fair value.</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its network optimization, without sacrificing geographical service coverage or anticipated impact to customers, Yellow plans to close and sell excess owned facilities that have overlapping service territories. In the fourth quarter of 2022, the Company closed on the sale of one of these terminals for a price of approximately $31.0 million and a resulting gain of approximately $28.1 million. The net proceeds were used to pay down a portion of the term loan. As a part of our ongoing enterprise transformation, the Company exited certain properties during the second half of 2022. Based on market conditions, certain owned properties which were exited are being actively marketed for sale to third parties. Of these properties, those which are actively marketed but not yet sold have immaterial net book value, but are accounted for as held-for-sale and presented within property and equipment at December 31, 2022.</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8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determines if a contractual agreement is a lease or contains a lease at inception. The Company leases certain revenue equipment and real estate, predominantly through operating leases, and we have an immaterial number of leases in which we are a lessor. Operating leases are expensed on a straight-line basis over the life of the lease beginning on the lease commencement date. The Company determines the lease term by assuming the exercise of renewal options that are reasonably certain. The lease term is used to determine whether a lease is finance or operating and is used to calculate rent expense. Additionally, the depreciable life of leased assets and leasehold improvements is limited by the expected lease term. Operating lease balances are classified as operating lease right-of-use (“ROU”) assets and current and long-term operating lease liabilities on our consolidated balance sheet. The Company elected the short-term lease recognition exemption and short-term leases, which have an initial term of 12 months or less, are not included in our ROU assets, or corresponding lease liabilities. Lastly, the Company has an immaterial amount of finance leases.</w:t>
      </w:r>
    </w:p>
    <w:p>
      <w:pPr>
        <w:spacing w:after="0" w:line="13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ROU assets represent the Company’s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As most of the Company’s leases do not provide an implicit rate, we use our incremental borrowing rate adjusted for duration and other factors to represent the rate we would have to pay to borrow on a collateralized basis based on the information available at commencement date in determining the present value of lease payments. Our lease terms may include options to extend or terminate the lease and we will adjust the life of the lease when it is reasonably certain that we will exercise these options.</w:t>
      </w:r>
    </w:p>
    <w:p>
      <w:pPr>
        <w:spacing w:after="0" w:line="13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Key assumptions include discount rate, the impact of purchase options and renewal options on our lease term, as well as the assessment of residual value guarantees. The Company has lease agreements with lease and non-lease components, which are generally accounted for as a single lease component. We have variable lease components, including lease payments with payment escalation based on the Consumer Price Index, and other variable items, such as common area maintenance and taxes.</w:t>
      </w:r>
    </w:p>
    <w:p>
      <w:pPr>
        <w:spacing w:after="0" w:line="14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Company’s revenue equipment leases generally have purchase options. However, in most circumstances we are not typically certain of exercising the purchase option as we may sign a new lease, return the equipment to the lessor, or exercise the option as circumstances dictate. At the time we determine to exercise such purchase options, we remeasure the lease liability inclusive of the updated lease terms. Our revenue equipment leases often contain residual value guarantees, but they are not reflected in our lease liabilities as our lease rates are such that residual value guarantees are not expected to be owed at the end of our leases. Wrecked units are expensed in full upon damage and paid out to the lessor.</w:t>
      </w:r>
    </w:p>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real estate leases will often have an option to extend the lease, but we are typically not reasonably certain of exercising options to extend as we have the ability to move to more advantageous locations over time, relocate to other leased and owned locations, or discontinue service from particular locations over time as customer demand changes. At the time we determine to exercise such renewal, we remeasure the lease liability inclusive of the updated lease terms.</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8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uses the asset and liability method to reflect income taxes on these consolidated financial statements, which results in the recognition of deferred tax assets and liabilities by applying enacted tax rates to the differences between the carrying value of existing assets and liabilities and their respective tax basis and to loss carryforwards. Tax credit carryforwards are recorded as deferred tax assets. The effect on deferred tax assets and liabilities of a change in tax rates is recognized in income in the period that the change occurs. The Company assesses the recoverability of deferred tax assets, operating losses and tax credit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4" w:name="page45"/>
    <w:bookmarkEnd w:id="44"/>
    <w:p>
      <w:pPr>
        <w:jc w:val="both"/>
        <w:spacing w:after="0" w:line="290" w:lineRule="auto"/>
        <w:rPr>
          <w:sz w:val="20"/>
          <w:szCs w:val="20"/>
          <w:color w:val="auto"/>
        </w:rPr>
      </w:pPr>
      <w:r>
        <w:rPr>
          <w:rFonts w:ascii="Arial" w:cs="Arial" w:eastAsia="Arial" w:hAnsi="Arial"/>
          <w:sz w:val="17"/>
          <w:szCs w:val="17"/>
          <w:color w:val="auto"/>
        </w:rPr>
        <w:t>carryforwards and provides valuation allowances when it determines it is more likely than not that such assets, operating losses or credits will not be realized. We have not recognized deferred taxes relative to foreign subsidiaries’ earnings that are deemed to be permanently reinvested. Any related income tax associated with such earnings are not material. We account for residual income tax effects in accumulated other comprehensive income using the portfolio method and will release the residual tax effect when the entire portfolio of defined benefit pension plans is terminated.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Newly Adopted Accounting Standards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None of the recently issued accounting standards are expected to have a material impact on our consolidated financial statements and accompanying notes.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Other Accrued Taxes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primary components of Other accrued taxes at December 31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2021</w:t>
            </w:r>
          </w:p>
        </w:tc>
      </w:tr>
      <w:tr>
        <w:trPr>
          <w:trHeight w:val="236"/>
        </w:trPr>
        <w:tc>
          <w:tcPr>
            <w:tcW w:w="7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employer payroll taxes</w:t>
            </w:r>
          </w:p>
        </w:tc>
        <w:tc>
          <w:tcPr>
            <w:tcW w:w="18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42.8</w:t>
            </w:r>
          </w:p>
        </w:tc>
      </w:tr>
      <w:tr>
        <w:trPr>
          <w:trHeight w:val="243"/>
        </w:trPr>
        <w:tc>
          <w:tcPr>
            <w:tcW w:w="7840" w:type="dxa"/>
            <w:vAlign w:val="bottom"/>
          </w:tcPr>
          <w:p>
            <w:pPr>
              <w:ind w:left="20"/>
              <w:spacing w:after="0" w:line="243"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4"/>
                <w:szCs w:val="24"/>
                <w:color w:val="auto"/>
                <w:vertAlign w:val="superscript"/>
              </w:rPr>
              <w:t>(a)</w:t>
            </w:r>
          </w:p>
        </w:tc>
        <w:tc>
          <w:tcPr>
            <w:tcW w:w="1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27.9</w:t>
            </w:r>
          </w:p>
        </w:tc>
        <w:tc>
          <w:tcPr>
            <w:tcW w:w="1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30.0</w:t>
            </w:r>
          </w:p>
        </w:tc>
      </w:tr>
      <w:tr>
        <w:trPr>
          <w:trHeight w:val="224"/>
        </w:trPr>
        <w:tc>
          <w:tcPr>
            <w:tcW w:w="7840" w:type="dxa"/>
            <w:vAlign w:val="bottom"/>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27.9</w:t>
            </w:r>
          </w:p>
        </w:tc>
        <w:tc>
          <w:tcPr>
            <w:tcW w:w="16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72.8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97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4" w:lineRule="exact"/>
        <w:rPr>
          <w:sz w:val="20"/>
          <w:szCs w:val="20"/>
          <w:color w:val="auto"/>
        </w:rPr>
      </w:pPr>
    </w:p>
    <w:p>
      <w:pPr>
        <w:ind w:left="380" w:hanging="372"/>
        <w:spacing w:after="0"/>
        <w:tabs>
          <w:tab w:leader="none" w:pos="3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Other includes liabilities related to operating taxes and licenses, employer payroll taxes, real estate taxes, and other immaterial tax liabilities of varying types.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Under the Coronavirus Aid, Relief, and Economic Security Act (the “CARES Act”), the Company deferred payment of certain employer payroll taxes.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Approximately half of these deferred payments were paid in December 2021 and the remaining amount was paid in December 2022.</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Employee Benefits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Non-Union Pension Plans</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Yellow Corporation and certain of our operating subsidiaries sponsor qualified defined benefit pension plans for certain employees not covered by collective bargaining agreements, which as of December 31, 2022 includes approximately 4,600 current, former and retired employees. These domestic, qualified non-union pension plans include the Yellow Corporation Pension Plan, the Roadway LLC Pension Plan, and the Yellow Retirement Pension Plan (formerly known as the YRC Retirement Pension Plan) (collectively, the "Plans"). Qualified pension benefits are based on years of service and the employees’ covered earnings. Employees covered by collective bargaining agreements participate in various multi-employer pension plans to which the Company contributes, as discussed separately below. The Plans closed to new participants effective January 1, 2004 and benefit accruals for participants were frozen July 1, 2008. Our actuarial valuation measurement date for the Plans is December 31.</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long-term strategy has been focused on de-risking the Plans and improving the overall funded status. In prior years, the Company has worked to execute this strategy through efforts that included amending the Plans to provide an automatic commencement of benefit at age 65, regardless of employment status, in an effort to reduce our long-term pension obligations and ongoing annual pension expense, and one plan was amended to permit the payment of lump sum benefit payments for all participants. These amendments triggered immaterial non-cash settlement charges that are included in certain tabular disclosures below, due to the amount of lump sum benefit payments distributed from plan assets. The lump sum benefit payments reduce pension obligations and are funded from existing plan assets. The non-cash settlement charges result from the requirement to expense the unrecognized actuarial losses associated with the lump sum settlements, which are reflected in nonoperating expenses. These charges had no effect on total equity because the actuarial losses were already recognized in accumulated other comprehensive loss. Accordingly, the effect on retained earnings was offset by a corresponding reduction in accumulated other comprehensive loss.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December 6, 2021, the Plans entered into a contract for a group annuity to transfer the obligation to pay the remaining retirement benefits of certain specific plan participants in the Plans to a highly rated insurance company (the “2021 Partial Pension Annuitization"). Upon issuance of the group annuity contracts, the value of each affected retiree’s benefit obligation was irrevocably guaranteed by the insurer. The plan participants did not have any changes to their benefits as a result of the transfer. By irrevocably transferring the obligations to the insurer, the Company reduced its overall pension projected benefit obligation by approximately $243 million. The purchase of group annuity contracts was funded directly by assets of the Plans of approximately $253 million.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5" w:name="page46"/>
    <w:bookmarkEnd w:id="45"/>
    <w:p>
      <w:pPr>
        <w:jc w:val="both"/>
        <w:spacing w:after="0" w:line="279" w:lineRule="auto"/>
        <w:rPr>
          <w:sz w:val="20"/>
          <w:szCs w:val="20"/>
          <w:color w:val="auto"/>
        </w:rPr>
      </w:pPr>
      <w:r>
        <w:rPr>
          <w:rFonts w:ascii="Arial" w:cs="Arial" w:eastAsia="Arial" w:hAnsi="Arial"/>
          <w:sz w:val="17"/>
          <w:szCs w:val="17"/>
          <w:color w:val="auto"/>
        </w:rPr>
        <w:t>Prior to the 2021 Partial Pension Annuitization, the Plans had approximately 8,500 participants. The 2021 Partial Pension Annuitization eliminated the Plan's obligations to pay retirement benefits to approximately 3,700 participants and resulted in annual savings for the Plans, including for Pension Benefit Guarantee Corporation premiums. Consistent with our long-term strategy, the Company and the Plans expect to continue to look for opportunities to manage the domestic, qualified non-union pension plans obligations, which may include additional settlements in future years.</w:t>
      </w:r>
    </w:p>
    <w:p>
      <w:pPr>
        <w:spacing w:after="0" w:line="170" w:lineRule="exact"/>
        <w:rPr>
          <w:sz w:val="20"/>
          <w:szCs w:val="20"/>
          <w:color w:val="auto"/>
        </w:rPr>
      </w:pPr>
    </w:p>
    <w:p>
      <w:pPr>
        <w:jc w:val="both"/>
        <w:spacing w:after="0" w:line="307" w:lineRule="auto"/>
        <w:rPr>
          <w:sz w:val="20"/>
          <w:szCs w:val="20"/>
          <w:color w:val="auto"/>
        </w:rPr>
      </w:pPr>
      <w:r>
        <w:rPr>
          <w:rFonts w:ascii="Arial" w:cs="Arial" w:eastAsia="Arial" w:hAnsi="Arial"/>
          <w:sz w:val="17"/>
          <w:szCs w:val="17"/>
          <w:color w:val="auto"/>
        </w:rPr>
        <w:t>As a result of the 2021 Partial Pension Annuitization, the Company recorded a non-cash, non-operating settlement loss during the fourth quarter of 2021 of approximately $54.9 million reflecting the accelerated recognition of unamortized losses in these plans from the obligation that was settled.</w:t>
      </w:r>
    </w:p>
    <w:p>
      <w:pPr>
        <w:spacing w:after="0" w:line="14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During the year ended December 31, 2022 our pension expense was $10.2 million, which includes a $12.1 million expense recognition of settlements from lump sum payouts during the year. Using our current plan assumptions for the discount rate of 5.70% and an assumed 7.00% return on assets we expect to record expense of $8.8 million for the year ended December 31, 2023, which excludes expenses of settlement from lump sum payments.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Funded Status</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reconciliation of the beginning and ending balances of the projected benefit obligation and the fair value of plan assets for the years ended December 31, 2022 and 2021, and the funded status at December 31, 2022 and 2021, is as follows:</w:t>
      </w:r>
    </w:p>
    <w:p>
      <w:pPr>
        <w:spacing w:after="0" w:line="175"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5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6"/>
                <w:szCs w:val="16"/>
                <w:color w:val="auto"/>
              </w:rPr>
            </w:pPr>
          </w:p>
        </w:tc>
      </w:tr>
      <w:tr>
        <w:trPr>
          <w:trHeight w:val="236"/>
        </w:trPr>
        <w:tc>
          <w:tcPr>
            <w:tcW w:w="5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Change in benefit obligation:</w:t>
            </w:r>
          </w:p>
        </w:tc>
        <w:tc>
          <w:tcPr>
            <w:tcW w:w="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36"/>
        </w:trPr>
        <w:tc>
          <w:tcPr>
            <w:tcW w:w="5180" w:type="dxa"/>
            <w:vAlign w:val="bottom"/>
          </w:tcPr>
          <w:p>
            <w:pPr>
              <w:ind w:left="180"/>
              <w:spacing w:after="0"/>
              <w:rPr>
                <w:sz w:val="20"/>
                <w:szCs w:val="20"/>
                <w:color w:val="auto"/>
              </w:rPr>
            </w:pPr>
            <w:r>
              <w:rPr>
                <w:rFonts w:ascii="Arial" w:cs="Arial" w:eastAsia="Arial" w:hAnsi="Arial"/>
                <w:sz w:val="18"/>
                <w:szCs w:val="18"/>
                <w:color w:val="auto"/>
              </w:rPr>
              <w:t>Benefit obligation at beginning of year</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813.3</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1,142.3</w:t>
            </w:r>
          </w:p>
        </w:tc>
        <w:tc>
          <w:tcPr>
            <w:tcW w:w="20" w:type="dxa"/>
            <w:vAlign w:val="bottom"/>
          </w:tcPr>
          <w:p>
            <w:pPr>
              <w:spacing w:after="0"/>
              <w:rPr>
                <w:sz w:val="20"/>
                <w:szCs w:val="20"/>
                <w:color w:val="auto"/>
              </w:rPr>
            </w:pPr>
          </w:p>
        </w:tc>
      </w:tr>
      <w:tr>
        <w:trPr>
          <w:trHeight w:val="249"/>
        </w:trPr>
        <w:tc>
          <w:tcPr>
            <w:tcW w:w="51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Interest cost</w:t>
            </w: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23.7</w:t>
            </w: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w:t>
            </w:r>
          </w:p>
        </w:tc>
        <w:tc>
          <w:tcPr>
            <w:tcW w:w="20" w:type="dxa"/>
            <w:vAlign w:val="bottom"/>
          </w:tcPr>
          <w:p>
            <w:pPr>
              <w:spacing w:after="0"/>
              <w:rPr>
                <w:sz w:val="21"/>
                <w:szCs w:val="21"/>
                <w:color w:val="auto"/>
              </w:rPr>
            </w:pPr>
          </w:p>
        </w:tc>
      </w:tr>
      <w:tr>
        <w:trPr>
          <w:trHeight w:val="230"/>
        </w:trPr>
        <w:tc>
          <w:tcPr>
            <w:tcW w:w="5180" w:type="dxa"/>
            <w:vAlign w:val="bottom"/>
          </w:tcPr>
          <w:p>
            <w:pPr>
              <w:ind w:left="180"/>
              <w:spacing w:after="0"/>
              <w:rPr>
                <w:sz w:val="20"/>
                <w:szCs w:val="20"/>
                <w:color w:val="auto"/>
              </w:rPr>
            </w:pPr>
            <w:r>
              <w:rPr>
                <w:rFonts w:ascii="Arial" w:cs="Arial" w:eastAsia="Arial" w:hAnsi="Arial"/>
                <w:sz w:val="18"/>
                <w:szCs w:val="18"/>
                <w:color w:val="auto"/>
              </w:rPr>
              <w:t>Benefits paid, including lump sum and annuity transfers</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(80.3 )</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(353.0 )</w:t>
            </w:r>
          </w:p>
        </w:tc>
        <w:tc>
          <w:tcPr>
            <w:tcW w:w="20" w:type="dxa"/>
            <w:vAlign w:val="bottom"/>
          </w:tcPr>
          <w:p>
            <w:pPr>
              <w:spacing w:after="0"/>
              <w:rPr>
                <w:sz w:val="20"/>
                <w:szCs w:val="20"/>
                <w:color w:val="auto"/>
              </w:rPr>
            </w:pPr>
          </w:p>
        </w:tc>
      </w:tr>
      <w:tr>
        <w:trPr>
          <w:trHeight w:val="255"/>
        </w:trPr>
        <w:tc>
          <w:tcPr>
            <w:tcW w:w="51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Actuarial (gain) loss</w:t>
            </w:r>
          </w:p>
        </w:tc>
        <w:tc>
          <w:tcPr>
            <w:tcW w:w="1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(171.2 )</w:t>
            </w:r>
          </w:p>
        </w:tc>
        <w:tc>
          <w:tcPr>
            <w:tcW w:w="1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(6.7 )</w:t>
            </w:r>
          </w:p>
        </w:tc>
        <w:tc>
          <w:tcPr>
            <w:tcW w:w="20" w:type="dxa"/>
            <w:vAlign w:val="bottom"/>
          </w:tcPr>
          <w:p>
            <w:pPr>
              <w:spacing w:after="0"/>
              <w:rPr>
                <w:sz w:val="22"/>
                <w:szCs w:val="22"/>
                <w:color w:val="auto"/>
              </w:rPr>
            </w:pPr>
          </w:p>
        </w:tc>
      </w:tr>
      <w:tr>
        <w:trPr>
          <w:trHeight w:val="236"/>
        </w:trPr>
        <w:tc>
          <w:tcPr>
            <w:tcW w:w="5180" w:type="dxa"/>
            <w:vAlign w:val="bottom"/>
          </w:tcPr>
          <w:p>
            <w:pPr>
              <w:ind w:left="18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36"/>
        </w:trPr>
        <w:tc>
          <w:tcPr>
            <w:tcW w:w="518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Benefit obligation at year end</w:t>
            </w:r>
          </w:p>
        </w:tc>
        <w:tc>
          <w:tcPr>
            <w:tcW w:w="1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585.5</w:t>
            </w:r>
          </w:p>
        </w:tc>
        <w:tc>
          <w:tcPr>
            <w:tcW w:w="1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813.3</w:t>
            </w:r>
          </w:p>
        </w:tc>
        <w:tc>
          <w:tcPr>
            <w:tcW w:w="20" w:type="dxa"/>
            <w:vAlign w:val="bottom"/>
          </w:tcPr>
          <w:p>
            <w:pPr>
              <w:spacing w:after="0"/>
              <w:rPr>
                <w:sz w:val="20"/>
                <w:szCs w:val="20"/>
                <w:color w:val="auto"/>
              </w:rPr>
            </w:pPr>
          </w:p>
        </w:tc>
      </w:tr>
      <w:tr>
        <w:trPr>
          <w:trHeight w:val="238"/>
        </w:trPr>
        <w:tc>
          <w:tcPr>
            <w:tcW w:w="5180" w:type="dxa"/>
            <w:vAlign w:val="bottom"/>
          </w:tcPr>
          <w:p>
            <w:pPr>
              <w:spacing w:after="0"/>
              <w:rPr>
                <w:sz w:val="20"/>
                <w:szCs w:val="20"/>
                <w:color w:val="auto"/>
              </w:rPr>
            </w:pPr>
            <w:r>
              <w:rPr>
                <w:rFonts w:ascii="Arial" w:cs="Arial" w:eastAsia="Arial" w:hAnsi="Arial"/>
                <w:sz w:val="18"/>
                <w:szCs w:val="18"/>
                <w:b w:val="1"/>
                <w:bCs w:val="1"/>
                <w:color w:val="auto"/>
              </w:rPr>
              <w:t>Change in plan assets:</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7"/>
        </w:trPr>
        <w:tc>
          <w:tcPr>
            <w:tcW w:w="51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Fair value of plan assets at prior year end</w:t>
            </w:r>
          </w:p>
        </w:tc>
        <w:tc>
          <w:tcPr>
            <w:tcW w:w="40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767.4</w:t>
            </w:r>
          </w:p>
        </w:tc>
        <w:tc>
          <w:tcPr>
            <w:tcW w:w="3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1,190.7</w:t>
            </w:r>
          </w:p>
        </w:tc>
        <w:tc>
          <w:tcPr>
            <w:tcW w:w="20" w:type="dxa"/>
            <w:vAlign w:val="bottom"/>
          </w:tcPr>
          <w:p>
            <w:pPr>
              <w:spacing w:after="0"/>
              <w:rPr>
                <w:sz w:val="21"/>
                <w:szCs w:val="21"/>
                <w:color w:val="auto"/>
              </w:rPr>
            </w:pPr>
          </w:p>
        </w:tc>
      </w:tr>
      <w:tr>
        <w:trPr>
          <w:trHeight w:val="236"/>
        </w:trPr>
        <w:tc>
          <w:tcPr>
            <w:tcW w:w="5180" w:type="dxa"/>
            <w:vAlign w:val="bottom"/>
          </w:tcPr>
          <w:p>
            <w:pPr>
              <w:ind w:left="180"/>
              <w:spacing w:after="0"/>
              <w:rPr>
                <w:sz w:val="20"/>
                <w:szCs w:val="20"/>
                <w:color w:val="auto"/>
              </w:rPr>
            </w:pPr>
            <w:r>
              <w:rPr>
                <w:rFonts w:ascii="Arial" w:cs="Arial" w:eastAsia="Arial" w:hAnsi="Arial"/>
                <w:sz w:val="18"/>
                <w:szCs w:val="18"/>
                <w:color w:val="auto"/>
              </w:rPr>
              <w:t>Actual return on plan assets</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(199.8 )</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(71.4 )</w:t>
            </w:r>
          </w:p>
        </w:tc>
        <w:tc>
          <w:tcPr>
            <w:tcW w:w="20" w:type="dxa"/>
            <w:vAlign w:val="bottom"/>
          </w:tcPr>
          <w:p>
            <w:pPr>
              <w:spacing w:after="0"/>
              <w:rPr>
                <w:sz w:val="20"/>
                <w:szCs w:val="20"/>
                <w:color w:val="auto"/>
              </w:rPr>
            </w:pPr>
          </w:p>
        </w:tc>
      </w:tr>
      <w:tr>
        <w:trPr>
          <w:trHeight w:val="249"/>
        </w:trPr>
        <w:tc>
          <w:tcPr>
            <w:tcW w:w="51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Employer contributions</w:t>
            </w: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1"/>
                <w:szCs w:val="21"/>
                <w:color w:val="auto"/>
              </w:rPr>
            </w:pPr>
          </w:p>
        </w:tc>
      </w:tr>
      <w:tr>
        <w:trPr>
          <w:trHeight w:val="236"/>
        </w:trPr>
        <w:tc>
          <w:tcPr>
            <w:tcW w:w="5180" w:type="dxa"/>
            <w:vAlign w:val="bottom"/>
            <w:tcBorders>
              <w:bottom w:val="single" w:sz="8" w:color="CFF0FC"/>
            </w:tcBorders>
          </w:tcPr>
          <w:p>
            <w:pPr>
              <w:ind w:left="180"/>
              <w:spacing w:after="0"/>
              <w:rPr>
                <w:sz w:val="20"/>
                <w:szCs w:val="20"/>
                <w:color w:val="auto"/>
              </w:rPr>
            </w:pPr>
            <w:r>
              <w:rPr>
                <w:rFonts w:ascii="Arial" w:cs="Arial" w:eastAsia="Arial" w:hAnsi="Arial"/>
                <w:sz w:val="18"/>
                <w:szCs w:val="18"/>
                <w:color w:val="auto"/>
              </w:rPr>
              <w:t>Benefits paid, including lump sum and annuity transfers</w:t>
            </w:r>
          </w:p>
        </w:tc>
        <w:tc>
          <w:tcPr>
            <w:tcW w:w="12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(80.3 )</w:t>
            </w:r>
          </w:p>
        </w:tc>
        <w:tc>
          <w:tcPr>
            <w:tcW w:w="12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(353.0 )</w:t>
            </w:r>
          </w:p>
        </w:tc>
        <w:tc>
          <w:tcPr>
            <w:tcW w:w="20" w:type="dxa"/>
            <w:vAlign w:val="bottom"/>
          </w:tcPr>
          <w:p>
            <w:pPr>
              <w:spacing w:after="0"/>
              <w:rPr>
                <w:sz w:val="20"/>
                <w:szCs w:val="20"/>
                <w:color w:val="auto"/>
              </w:rPr>
            </w:pPr>
          </w:p>
        </w:tc>
      </w:tr>
      <w:tr>
        <w:trPr>
          <w:trHeight w:val="236"/>
        </w:trPr>
        <w:tc>
          <w:tcPr>
            <w:tcW w:w="518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Fair value of plan assets at year end</w:t>
            </w:r>
          </w:p>
        </w:tc>
        <w:tc>
          <w:tcPr>
            <w:tcW w:w="1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487.9</w:t>
            </w:r>
          </w:p>
        </w:tc>
        <w:tc>
          <w:tcPr>
            <w:tcW w:w="1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767.4</w:t>
            </w:r>
          </w:p>
        </w:tc>
        <w:tc>
          <w:tcPr>
            <w:tcW w:w="20" w:type="dxa"/>
            <w:vAlign w:val="bottom"/>
          </w:tcPr>
          <w:p>
            <w:pPr>
              <w:spacing w:after="0"/>
              <w:rPr>
                <w:sz w:val="20"/>
                <w:szCs w:val="20"/>
                <w:color w:val="auto"/>
              </w:rPr>
            </w:pPr>
          </w:p>
        </w:tc>
      </w:tr>
      <w:tr>
        <w:trPr>
          <w:trHeight w:val="238"/>
        </w:trPr>
        <w:tc>
          <w:tcPr>
            <w:tcW w:w="5180" w:type="dxa"/>
            <w:vAlign w:val="bottom"/>
          </w:tcPr>
          <w:p>
            <w:pPr>
              <w:spacing w:after="0"/>
              <w:rPr>
                <w:sz w:val="20"/>
                <w:szCs w:val="20"/>
                <w:color w:val="auto"/>
              </w:rPr>
            </w:pPr>
            <w:r>
              <w:rPr>
                <w:rFonts w:ascii="Arial" w:cs="Arial" w:eastAsia="Arial" w:hAnsi="Arial"/>
                <w:sz w:val="18"/>
                <w:szCs w:val="18"/>
                <w:b w:val="1"/>
                <w:bCs w:val="1"/>
                <w:color w:val="auto"/>
              </w:rPr>
              <w:t>Funded status at year end</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(97.6 )</w:t>
            </w:r>
          </w:p>
        </w:tc>
        <w:tc>
          <w:tcPr>
            <w:tcW w:w="1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(45.9 )</w:t>
            </w:r>
          </w:p>
        </w:tc>
        <w:tc>
          <w:tcPr>
            <w:tcW w:w="20" w:type="dxa"/>
            <w:vAlign w:val="bottom"/>
          </w:tcPr>
          <w:p>
            <w:pPr>
              <w:spacing w:after="0"/>
              <w:rPr>
                <w:sz w:val="20"/>
                <w:szCs w:val="20"/>
                <w:color w:val="auto"/>
              </w:rPr>
            </w:pPr>
          </w:p>
        </w:tc>
      </w:tr>
      <w:tr>
        <w:trPr>
          <w:trHeight w:val="20"/>
        </w:trPr>
        <w:tc>
          <w:tcPr>
            <w:tcW w:w="5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5227955</wp:posOffset>
            </wp:positionH>
            <wp:positionV relativeFrom="paragraph">
              <wp:posOffset>-1129665</wp:posOffset>
            </wp:positionV>
            <wp:extent cx="85725" cy="16256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1075055</wp:posOffset>
            </wp:positionH>
            <wp:positionV relativeFrom="paragraph">
              <wp:posOffset>-363220</wp:posOffset>
            </wp:positionV>
            <wp:extent cx="4991735" cy="3638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991735" cy="363855"/>
                    </a:xfrm>
                    <a:prstGeom prst="rect">
                      <a:avLst/>
                    </a:prstGeom>
                    <a:noFill/>
                  </pic:spPr>
                </pic:pic>
              </a:graphicData>
            </a:graphic>
          </wp:anchor>
        </w:drawing>
      </w:r>
    </w:p>
    <w:p>
      <w:pPr>
        <w:spacing w:after="0" w:line="289" w:lineRule="exact"/>
        <w:rPr>
          <w:sz w:val="20"/>
          <w:szCs w:val="20"/>
          <w:color w:val="auto"/>
        </w:rPr>
      </w:pPr>
    </w:p>
    <w:p>
      <w:pPr>
        <w:spacing w:after="0" w:line="341" w:lineRule="auto"/>
        <w:rPr>
          <w:sz w:val="20"/>
          <w:szCs w:val="20"/>
          <w:color w:val="auto"/>
        </w:rPr>
      </w:pPr>
      <w:r>
        <w:rPr>
          <w:rFonts w:ascii="Arial" w:cs="Arial" w:eastAsia="Arial" w:hAnsi="Arial"/>
          <w:sz w:val="16"/>
          <w:szCs w:val="16"/>
          <w:color w:val="auto"/>
        </w:rPr>
        <w:t>The net underfunded status of the plans of $97.6 million and $45.9 million at December 31, 2022 and 2021, respectively are recognized in the consolidated balance sheets as shown in the table below. No plan assets are expected to be returned to the Company during the year ending December 31, 2023.</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in the consolidated balance sheets for these pension plans at December 31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36"/>
        </w:trPr>
        <w:tc>
          <w:tcPr>
            <w:tcW w:w="7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Noncurrent assets</w:t>
            </w:r>
          </w:p>
        </w:tc>
        <w:tc>
          <w:tcPr>
            <w:tcW w:w="200" w:type="dxa"/>
            <w:vAlign w:val="bottom"/>
            <w:shd w:val="clear" w:color="auto" w:fill="CFF0FC"/>
          </w:tcPr>
          <w:p>
            <w:pPr>
              <w:spacing w:after="0"/>
              <w:rPr>
                <w:sz w:val="20"/>
                <w:szCs w:val="20"/>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34.5</w:t>
            </w:r>
          </w:p>
        </w:tc>
        <w:tc>
          <w:tcPr>
            <w:tcW w:w="160" w:type="dxa"/>
            <w:vAlign w:val="bottom"/>
            <w:shd w:val="clear" w:color="auto" w:fill="CFF0FC"/>
          </w:tcPr>
          <w:p>
            <w:pPr>
              <w:spacing w:after="0"/>
              <w:rPr>
                <w:sz w:val="20"/>
                <w:szCs w:val="20"/>
                <w:color w:val="auto"/>
              </w:rPr>
            </w:pP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36"/>
        </w:trPr>
        <w:tc>
          <w:tcPr>
            <w:tcW w:w="75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(0.5 )</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(0.6 )</w:t>
            </w:r>
          </w:p>
        </w:tc>
        <w:tc>
          <w:tcPr>
            <w:tcW w:w="0" w:type="dxa"/>
            <w:vAlign w:val="bottom"/>
          </w:tcPr>
          <w:p>
            <w:pPr>
              <w:spacing w:after="0"/>
              <w:rPr>
                <w:sz w:val="1"/>
                <w:szCs w:val="1"/>
                <w:color w:val="auto"/>
              </w:rPr>
            </w:pPr>
          </w:p>
        </w:tc>
      </w:tr>
      <w:tr>
        <w:trPr>
          <w:trHeight w:val="243"/>
        </w:trPr>
        <w:tc>
          <w:tcPr>
            <w:tcW w:w="7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Noncurrent liabilities</w:t>
            </w:r>
          </w:p>
        </w:tc>
        <w:tc>
          <w:tcPr>
            <w:tcW w:w="2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(131.6 )</w:t>
            </w:r>
          </w:p>
        </w:tc>
        <w:tc>
          <w:tcPr>
            <w:tcW w:w="1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(85.8 )</w:t>
            </w:r>
          </w:p>
        </w:tc>
        <w:tc>
          <w:tcPr>
            <w:tcW w:w="0" w:type="dxa"/>
            <w:vAlign w:val="bottom"/>
          </w:tcPr>
          <w:p>
            <w:pPr>
              <w:spacing w:after="0"/>
              <w:rPr>
                <w:sz w:val="1"/>
                <w:szCs w:val="1"/>
                <w:color w:val="auto"/>
              </w:rPr>
            </w:pPr>
          </w:p>
        </w:tc>
      </w:tr>
      <w:tr>
        <w:trPr>
          <w:trHeight w:val="242"/>
        </w:trPr>
        <w:tc>
          <w:tcPr>
            <w:tcW w:w="7500" w:type="dxa"/>
            <w:vAlign w:val="bottom"/>
          </w:tcPr>
          <w:p>
            <w:pPr>
              <w:ind w:left="20"/>
              <w:spacing w:after="0"/>
              <w:rPr>
                <w:sz w:val="20"/>
                <w:szCs w:val="20"/>
                <w:color w:val="auto"/>
              </w:rPr>
            </w:pPr>
            <w:r>
              <w:rPr>
                <w:rFonts w:ascii="Arial" w:cs="Arial" w:eastAsia="Arial" w:hAnsi="Arial"/>
                <w:sz w:val="18"/>
                <w:szCs w:val="18"/>
                <w:color w:val="auto"/>
              </w:rPr>
              <w:t>Total</w:t>
            </w:r>
          </w:p>
        </w:tc>
        <w:tc>
          <w:tcPr>
            <w:tcW w:w="5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(97.6 )</w:t>
            </w:r>
          </w:p>
        </w:tc>
        <w:tc>
          <w:tcPr>
            <w:tcW w:w="5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(45.9 )</w:t>
            </w:r>
          </w:p>
        </w:tc>
        <w:tc>
          <w:tcPr>
            <w:tcW w:w="0" w:type="dxa"/>
            <w:vAlign w:val="bottom"/>
          </w:tcPr>
          <w:p>
            <w:pPr>
              <w:spacing w:after="0"/>
              <w:rPr>
                <w:sz w:val="1"/>
                <w:szCs w:val="1"/>
                <w:color w:val="auto"/>
              </w:rPr>
            </w:pPr>
          </w:p>
        </w:tc>
      </w:tr>
      <w:tr>
        <w:trPr>
          <w:trHeight w:val="20"/>
        </w:trPr>
        <w:tc>
          <w:tcPr>
            <w:tcW w:w="7500" w:type="dxa"/>
            <w:vAlign w:val="bottom"/>
            <w:vMerge w:val="restart"/>
          </w:tcPr>
          <w:p>
            <w:pPr>
              <w:spacing w:after="0"/>
              <w:rPr>
                <w:sz w:val="20"/>
                <w:szCs w:val="20"/>
                <w:color w:val="auto"/>
              </w:rPr>
            </w:pPr>
            <w:r>
              <w:rPr>
                <w:rFonts w:ascii="Arial" w:cs="Arial" w:eastAsia="Arial" w:hAnsi="Arial"/>
                <w:sz w:val="18"/>
                <w:szCs w:val="18"/>
                <w:color w:val="auto"/>
              </w:rPr>
              <w:t>Amounts recognized in accumulated other comprehensive loss at December 31 consist of:</w:t>
            </w: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5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7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36"/>
        </w:trPr>
        <w:tc>
          <w:tcPr>
            <w:tcW w:w="7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actuarial loss</w:t>
            </w:r>
          </w:p>
        </w:tc>
        <w:tc>
          <w:tcPr>
            <w:tcW w:w="200" w:type="dxa"/>
            <w:vAlign w:val="bottom"/>
            <w:shd w:val="clear" w:color="auto" w:fill="CFF0FC"/>
          </w:tcPr>
          <w:p>
            <w:pPr>
              <w:spacing w:after="0"/>
              <w:rPr>
                <w:sz w:val="20"/>
                <w:szCs w:val="20"/>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248.9</w:t>
            </w:r>
          </w:p>
        </w:tc>
        <w:tc>
          <w:tcPr>
            <w:tcW w:w="160" w:type="dxa"/>
            <w:vAlign w:val="bottom"/>
            <w:shd w:val="clear" w:color="auto" w:fill="CFF0FC"/>
          </w:tcPr>
          <w:p>
            <w:pPr>
              <w:spacing w:after="0"/>
              <w:rPr>
                <w:sz w:val="20"/>
                <w:szCs w:val="20"/>
                <w:color w:val="auto"/>
              </w:rPr>
            </w:pP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207.3</w:t>
            </w:r>
          </w:p>
        </w:tc>
        <w:tc>
          <w:tcPr>
            <w:tcW w:w="0" w:type="dxa"/>
            <w:vAlign w:val="bottom"/>
          </w:tcPr>
          <w:p>
            <w:pPr>
              <w:spacing w:after="0"/>
              <w:rPr>
                <w:sz w:val="1"/>
                <w:szCs w:val="1"/>
                <w:color w:val="auto"/>
              </w:rPr>
            </w:pPr>
          </w:p>
        </w:tc>
      </w:tr>
      <w:tr>
        <w:trPr>
          <w:trHeight w:val="236"/>
        </w:trPr>
        <w:tc>
          <w:tcPr>
            <w:tcW w:w="7500" w:type="dxa"/>
            <w:vAlign w:val="bottom"/>
          </w:tcPr>
          <w:p>
            <w:pPr>
              <w:ind w:left="20"/>
              <w:spacing w:after="0"/>
              <w:rPr>
                <w:sz w:val="20"/>
                <w:szCs w:val="20"/>
                <w:color w:val="auto"/>
              </w:rPr>
            </w:pPr>
            <w:r>
              <w:rPr>
                <w:rFonts w:ascii="Arial" w:cs="Arial" w:eastAsia="Arial" w:hAnsi="Arial"/>
                <w:sz w:val="18"/>
                <w:szCs w:val="18"/>
                <w:color w:val="auto"/>
              </w:rPr>
              <w:t>Net prior service credit</w:t>
            </w:r>
          </w:p>
        </w:tc>
        <w:tc>
          <w:tcPr>
            <w:tcW w:w="2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(8.4 )</w:t>
            </w:r>
          </w:p>
        </w:tc>
        <w:tc>
          <w:tcPr>
            <w:tcW w:w="1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(8.9 )</w:t>
            </w:r>
          </w:p>
        </w:tc>
        <w:tc>
          <w:tcPr>
            <w:tcW w:w="0" w:type="dxa"/>
            <w:vAlign w:val="bottom"/>
          </w:tcPr>
          <w:p>
            <w:pPr>
              <w:spacing w:after="0"/>
              <w:rPr>
                <w:sz w:val="1"/>
                <w:szCs w:val="1"/>
                <w:color w:val="auto"/>
              </w:rPr>
            </w:pPr>
          </w:p>
        </w:tc>
      </w:tr>
      <w:tr>
        <w:trPr>
          <w:trHeight w:val="276"/>
        </w:trPr>
        <w:tc>
          <w:tcPr>
            <w:tcW w:w="7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240.5</w:t>
            </w:r>
          </w:p>
        </w:tc>
        <w:tc>
          <w:tcPr>
            <w:tcW w:w="16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198.4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5964555</wp:posOffset>
            </wp:positionH>
            <wp:positionV relativeFrom="paragraph">
              <wp:posOffset>-1215390</wp:posOffset>
            </wp:positionV>
            <wp:extent cx="111125" cy="18859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11125" cy="18859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-24765</wp:posOffset>
            </wp:positionV>
            <wp:extent cx="11112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-7620</wp:posOffset>
            </wp:positionV>
            <wp:extent cx="11112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shown above, included in accumulated other comprehensive loss at December 31, 2022, are unrecognized actuarial losses of $248.9 million ($239.3 million, net of tax).</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46" w:name="page47"/>
    <w:bookmarkEnd w:id="46"/>
    <w:p>
      <w:pPr>
        <w:ind w:right="60"/>
        <w:spacing w:after="0" w:line="277" w:lineRule="auto"/>
        <w:rPr>
          <w:sz w:val="20"/>
          <w:szCs w:val="20"/>
          <w:color w:val="auto"/>
        </w:rPr>
      </w:pPr>
      <w:r>
        <w:rPr>
          <w:rFonts w:ascii="Arial" w:cs="Arial" w:eastAsia="Arial" w:hAnsi="Arial"/>
          <w:sz w:val="18"/>
          <w:szCs w:val="18"/>
          <w:color w:val="auto"/>
        </w:rPr>
        <w:t>Information for pension plans with an accumulated benefit obligation (“ABO”) in excess of plan assets and plan assets that exceed ABO at December 31, 2022 and 2021 is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93"/>
              </w:rPr>
              <w:t>At December 31, 2022</w:t>
            </w: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61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tcPr>
          <w:p>
            <w:pPr>
              <w:jc w:val="center"/>
              <w:ind w:right="257"/>
              <w:spacing w:after="0" w:line="133" w:lineRule="exact"/>
              <w:rPr>
                <w:sz w:val="20"/>
                <w:szCs w:val="20"/>
                <w:color w:val="auto"/>
              </w:rPr>
            </w:pPr>
            <w:r>
              <w:rPr>
                <w:rFonts w:ascii="Arial" w:cs="Arial" w:eastAsia="Arial" w:hAnsi="Arial"/>
                <w:sz w:val="14"/>
                <w:szCs w:val="14"/>
                <w:b w:val="1"/>
                <w:bCs w:val="1"/>
                <w:color w:val="auto"/>
                <w:w w:val="91"/>
              </w:rPr>
              <w:t>ABO Exceeds</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86"/>
              </w:rPr>
              <w:t>Assets Exceed</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40" w:type="dxa"/>
            <w:vAlign w:val="bottom"/>
            <w:vMerge w:val="restart"/>
          </w:tcPr>
          <w:p>
            <w:pPr>
              <w:jc w:val="right"/>
              <w:ind w:right="59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61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center"/>
              <w:ind w:right="257"/>
              <w:spacing w:after="0"/>
              <w:rPr>
                <w:sz w:val="20"/>
                <w:szCs w:val="20"/>
                <w:color w:val="auto"/>
              </w:rPr>
            </w:pPr>
            <w:r>
              <w:rPr>
                <w:rFonts w:ascii="Arial" w:cs="Arial" w:eastAsia="Arial" w:hAnsi="Arial"/>
                <w:sz w:val="14"/>
                <w:szCs w:val="14"/>
                <w:b w:val="1"/>
                <w:bCs w:val="1"/>
                <w:color w:val="auto"/>
                <w:w w:val="87"/>
              </w:rPr>
              <w:t>Assets</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ABO</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0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Projected benefit obligation</w:t>
            </w: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20" w:type="dxa"/>
            <w:vAlign w:val="bottom"/>
            <w:tcBorders>
              <w:top w:val="single" w:sz="8" w:color="auto"/>
            </w:tcBorders>
            <w:gridSpan w:val="2"/>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FF0FC"/>
          </w:tcPr>
          <w:p>
            <w:pPr>
              <w:jc w:val="right"/>
              <w:ind w:right="57"/>
              <w:spacing w:after="0"/>
              <w:rPr>
                <w:sz w:val="20"/>
                <w:szCs w:val="20"/>
                <w:color w:val="auto"/>
              </w:rPr>
            </w:pPr>
            <w:r>
              <w:rPr>
                <w:rFonts w:ascii="Arial" w:cs="Arial" w:eastAsia="Arial" w:hAnsi="Arial"/>
                <w:sz w:val="18"/>
                <w:szCs w:val="18"/>
                <w:color w:val="auto"/>
              </w:rPr>
              <w:t>553.4</w:t>
            </w:r>
          </w:p>
        </w:tc>
        <w:tc>
          <w:tcPr>
            <w:tcW w:w="1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ind w:right="2"/>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ind w:right="17"/>
              <w:spacing w:after="0"/>
              <w:rPr>
                <w:sz w:val="20"/>
                <w:szCs w:val="20"/>
                <w:color w:val="auto"/>
              </w:rPr>
            </w:pPr>
            <w:r>
              <w:rPr>
                <w:rFonts w:ascii="Arial" w:cs="Arial" w:eastAsia="Arial" w:hAnsi="Arial"/>
                <w:sz w:val="18"/>
                <w:szCs w:val="18"/>
                <w:color w:val="auto"/>
              </w:rPr>
              <w:t>32.1</w:t>
            </w:r>
          </w:p>
        </w:tc>
        <w:tc>
          <w:tcPr>
            <w:tcW w:w="2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585.5</w:t>
            </w:r>
          </w:p>
        </w:tc>
        <w:tc>
          <w:tcPr>
            <w:tcW w:w="0" w:type="dxa"/>
            <w:vAlign w:val="bottom"/>
          </w:tcPr>
          <w:p>
            <w:pPr>
              <w:spacing w:after="0"/>
              <w:rPr>
                <w:sz w:val="1"/>
                <w:szCs w:val="1"/>
                <w:color w:val="auto"/>
              </w:rPr>
            </w:pPr>
          </w:p>
        </w:tc>
      </w:tr>
      <w:tr>
        <w:trPr>
          <w:trHeight w:val="236"/>
        </w:trPr>
        <w:tc>
          <w:tcPr>
            <w:tcW w:w="6180" w:type="dxa"/>
            <w:vAlign w:val="bottom"/>
            <w:gridSpan w:val="3"/>
          </w:tcPr>
          <w:p>
            <w:pPr>
              <w:ind w:left="20"/>
              <w:spacing w:after="0"/>
              <w:rPr>
                <w:sz w:val="20"/>
                <w:szCs w:val="20"/>
                <w:color w:val="auto"/>
              </w:rPr>
            </w:pPr>
            <w:r>
              <w:rPr>
                <w:rFonts w:ascii="Arial" w:cs="Arial" w:eastAsia="Arial" w:hAnsi="Arial"/>
                <w:sz w:val="18"/>
                <w:szCs w:val="18"/>
                <w:color w:val="auto"/>
              </w:rPr>
              <w:t>Accumulated benefit obligation</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57"/>
              <w:spacing w:after="0"/>
              <w:rPr>
                <w:sz w:val="20"/>
                <w:szCs w:val="20"/>
                <w:color w:val="auto"/>
              </w:rPr>
            </w:pPr>
            <w:r>
              <w:rPr>
                <w:rFonts w:ascii="Arial" w:cs="Arial" w:eastAsia="Arial" w:hAnsi="Arial"/>
                <w:sz w:val="18"/>
                <w:szCs w:val="18"/>
                <w:color w:val="auto"/>
              </w:rPr>
              <w:t>553.4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32.1</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585.5</w:t>
            </w:r>
          </w:p>
        </w:tc>
        <w:tc>
          <w:tcPr>
            <w:tcW w:w="0" w:type="dxa"/>
            <w:vAlign w:val="bottom"/>
          </w:tcPr>
          <w:p>
            <w:pPr>
              <w:spacing w:after="0"/>
              <w:rPr>
                <w:sz w:val="1"/>
                <w:szCs w:val="1"/>
                <w:color w:val="auto"/>
              </w:rPr>
            </w:pPr>
          </w:p>
        </w:tc>
      </w:tr>
      <w:tr>
        <w:trPr>
          <w:trHeight w:val="249"/>
        </w:trPr>
        <w:tc>
          <w:tcPr>
            <w:tcW w:w="618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Fair value of plan assets</w:t>
            </w: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421.5</w:t>
            </w:r>
          </w:p>
        </w:tc>
        <w:tc>
          <w:tcPr>
            <w:tcW w:w="1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40" w:type="dxa"/>
            <w:vAlign w:val="bottom"/>
            <w:shd w:val="clear" w:color="auto" w:fill="CFF0FC"/>
          </w:tcPr>
          <w:p>
            <w:pPr>
              <w:jc w:val="right"/>
              <w:ind w:right="17"/>
              <w:spacing w:after="0"/>
              <w:rPr>
                <w:sz w:val="20"/>
                <w:szCs w:val="20"/>
                <w:color w:val="auto"/>
              </w:rPr>
            </w:pPr>
            <w:r>
              <w:rPr>
                <w:rFonts w:ascii="Arial" w:cs="Arial" w:eastAsia="Arial" w:hAnsi="Arial"/>
                <w:sz w:val="18"/>
                <w:szCs w:val="18"/>
                <w:color w:val="auto"/>
              </w:rPr>
              <w:t>66.4</w:t>
            </w: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487.9</w:t>
            </w:r>
          </w:p>
        </w:tc>
        <w:tc>
          <w:tcPr>
            <w:tcW w:w="0" w:type="dxa"/>
            <w:vAlign w:val="bottom"/>
          </w:tcPr>
          <w:p>
            <w:pPr>
              <w:spacing w:after="0"/>
              <w:rPr>
                <w:sz w:val="1"/>
                <w:szCs w:val="1"/>
                <w:color w:val="auto"/>
              </w:rPr>
            </w:pPr>
          </w:p>
        </w:tc>
      </w:tr>
      <w:tr>
        <w:trPr>
          <w:trHeight w:val="391"/>
        </w:trPr>
        <w:tc>
          <w:tcPr>
            <w:tcW w:w="6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2"/>
              </w:rPr>
              <w:t>At December 31, 2021</w:t>
            </w: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61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tcPr>
          <w:p>
            <w:pPr>
              <w:jc w:val="center"/>
              <w:ind w:right="217"/>
              <w:spacing w:after="0" w:line="133" w:lineRule="exact"/>
              <w:rPr>
                <w:sz w:val="20"/>
                <w:szCs w:val="20"/>
                <w:color w:val="auto"/>
              </w:rPr>
            </w:pPr>
            <w:r>
              <w:rPr>
                <w:rFonts w:ascii="Arial" w:cs="Arial" w:eastAsia="Arial" w:hAnsi="Arial"/>
                <w:sz w:val="14"/>
                <w:szCs w:val="14"/>
                <w:b w:val="1"/>
                <w:bCs w:val="1"/>
                <w:color w:val="auto"/>
                <w:w w:val="91"/>
              </w:rPr>
              <w:t>ABO Exceeds</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86"/>
              </w:rPr>
              <w:t>Assets Exceed</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40" w:type="dxa"/>
            <w:vAlign w:val="bottom"/>
            <w:vMerge w:val="restart"/>
          </w:tcPr>
          <w:p>
            <w:pPr>
              <w:jc w:val="right"/>
              <w:ind w:right="61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61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center"/>
              <w:ind w:right="237"/>
              <w:spacing w:after="0"/>
              <w:rPr>
                <w:sz w:val="20"/>
                <w:szCs w:val="20"/>
                <w:color w:val="auto"/>
              </w:rPr>
            </w:pPr>
            <w:r>
              <w:rPr>
                <w:rFonts w:ascii="Arial" w:cs="Arial" w:eastAsia="Arial" w:hAnsi="Arial"/>
                <w:sz w:val="14"/>
                <w:szCs w:val="14"/>
                <w:b w:val="1"/>
                <w:bCs w:val="1"/>
                <w:color w:val="auto"/>
                <w:w w:val="82"/>
              </w:rPr>
              <w:t>Assets</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ABO</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020" w:type="dxa"/>
            <w:vAlign w:val="bottom"/>
            <w:tcBorders>
              <w:top w:val="single" w:sz="8" w:color="auto"/>
            </w:tcBorders>
            <w:gridSpan w:val="2"/>
            <w:shd w:val="clear" w:color="auto" w:fill="CFF0FC"/>
          </w:tcPr>
          <w:p>
            <w:pPr>
              <w:ind w:left="20"/>
              <w:spacing w:after="0"/>
              <w:rPr>
                <w:sz w:val="20"/>
                <w:szCs w:val="20"/>
                <w:color w:val="auto"/>
              </w:rPr>
            </w:pPr>
            <w:r>
              <w:rPr>
                <w:rFonts w:ascii="Arial" w:cs="Arial" w:eastAsia="Arial" w:hAnsi="Arial"/>
                <w:sz w:val="18"/>
                <w:szCs w:val="18"/>
                <w:color w:val="auto"/>
              </w:rPr>
              <w:t>Projected benefit obligation</w:t>
            </w:r>
          </w:p>
        </w:tc>
        <w:tc>
          <w:tcPr>
            <w:tcW w:w="1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759.3</w:t>
            </w:r>
          </w:p>
        </w:tc>
        <w:tc>
          <w:tcPr>
            <w:tcW w:w="160" w:type="dxa"/>
            <w:vAlign w:val="bottom"/>
            <w:shd w:val="clear" w:color="auto" w:fill="CFF0FC"/>
          </w:tcPr>
          <w:p>
            <w:pPr>
              <w:spacing w:after="0"/>
              <w:rPr>
                <w:sz w:val="20"/>
                <w:szCs w:val="20"/>
                <w:color w:val="auto"/>
              </w:rPr>
            </w:pPr>
          </w:p>
        </w:tc>
        <w:tc>
          <w:tcPr>
            <w:tcW w:w="200" w:type="dxa"/>
            <w:vAlign w:val="bottom"/>
            <w:tcBorders>
              <w:top w:val="single" w:sz="8" w:color="auto"/>
            </w:tcBorders>
            <w:gridSpan w:val="2"/>
            <w:shd w:val="clear" w:color="auto" w:fill="CFF0FC"/>
          </w:tcPr>
          <w:p>
            <w:pPr>
              <w:jc w:val="right"/>
              <w:ind w:right="22"/>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54.0</w:t>
            </w: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60" w:type="dxa"/>
            <w:vAlign w:val="bottom"/>
            <w:tcBorders>
              <w:top w:val="single" w:sz="8" w:color="auto"/>
            </w:tcBorders>
            <w:gridSpan w:val="2"/>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813.3</w:t>
            </w:r>
          </w:p>
        </w:tc>
        <w:tc>
          <w:tcPr>
            <w:tcW w:w="0" w:type="dxa"/>
            <w:vAlign w:val="bottom"/>
          </w:tcPr>
          <w:p>
            <w:pPr>
              <w:spacing w:after="0"/>
              <w:rPr>
                <w:sz w:val="1"/>
                <w:szCs w:val="1"/>
                <w:color w:val="auto"/>
              </w:rPr>
            </w:pPr>
          </w:p>
        </w:tc>
      </w:tr>
      <w:tr>
        <w:trPr>
          <w:trHeight w:val="236"/>
        </w:trPr>
        <w:tc>
          <w:tcPr>
            <w:tcW w:w="6180" w:type="dxa"/>
            <w:vAlign w:val="bottom"/>
            <w:gridSpan w:val="3"/>
          </w:tcPr>
          <w:p>
            <w:pPr>
              <w:ind w:left="20"/>
              <w:spacing w:after="0"/>
              <w:rPr>
                <w:sz w:val="20"/>
                <w:szCs w:val="20"/>
                <w:color w:val="auto"/>
              </w:rPr>
            </w:pPr>
            <w:r>
              <w:rPr>
                <w:rFonts w:ascii="Arial" w:cs="Arial" w:eastAsia="Arial" w:hAnsi="Arial"/>
                <w:sz w:val="18"/>
                <w:szCs w:val="18"/>
                <w:color w:val="auto"/>
              </w:rPr>
              <w:t>Accumulated benefit obligation</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37"/>
              <w:spacing w:after="0"/>
              <w:rPr>
                <w:sz w:val="20"/>
                <w:szCs w:val="20"/>
                <w:color w:val="auto"/>
              </w:rPr>
            </w:pPr>
            <w:r>
              <w:rPr>
                <w:rFonts w:ascii="Arial" w:cs="Arial" w:eastAsia="Arial" w:hAnsi="Arial"/>
                <w:sz w:val="18"/>
                <w:szCs w:val="18"/>
                <w:color w:val="auto"/>
              </w:rPr>
              <w:t>759.3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37"/>
              <w:spacing w:after="0"/>
              <w:rPr>
                <w:sz w:val="20"/>
                <w:szCs w:val="20"/>
                <w:color w:val="auto"/>
              </w:rPr>
            </w:pPr>
            <w:r>
              <w:rPr>
                <w:rFonts w:ascii="Arial" w:cs="Arial" w:eastAsia="Arial" w:hAnsi="Arial"/>
                <w:sz w:val="18"/>
                <w:szCs w:val="18"/>
                <w:color w:val="auto"/>
              </w:rPr>
              <w:t>54.0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813.3</w:t>
            </w:r>
          </w:p>
        </w:tc>
        <w:tc>
          <w:tcPr>
            <w:tcW w:w="0" w:type="dxa"/>
            <w:vAlign w:val="bottom"/>
          </w:tcPr>
          <w:p>
            <w:pPr>
              <w:spacing w:after="0"/>
              <w:rPr>
                <w:sz w:val="1"/>
                <w:szCs w:val="1"/>
                <w:color w:val="auto"/>
              </w:rPr>
            </w:pPr>
          </w:p>
        </w:tc>
      </w:tr>
      <w:tr>
        <w:trPr>
          <w:trHeight w:val="249"/>
        </w:trPr>
        <w:tc>
          <w:tcPr>
            <w:tcW w:w="618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Fair value of plan assets</w:t>
            </w: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673.2</w:t>
            </w:r>
          </w:p>
        </w:tc>
        <w:tc>
          <w:tcPr>
            <w:tcW w:w="1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4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94.2</w:t>
            </w: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767.4</w:t>
            </w: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actuarial assumptions used to determine benefit obligations at December 31: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80" w:type="dxa"/>
            <w:vAlign w:val="bottom"/>
          </w:tcPr>
          <w:p>
            <w:pPr>
              <w:spacing w:after="0"/>
              <w:rPr>
                <w:sz w:val="16"/>
                <w:szCs w:val="16"/>
                <w:color w:val="auto"/>
              </w:rPr>
            </w:pP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Borders>
              <w:bottom w:val="single" w:sz="8" w:color="auto"/>
            </w:tcBorders>
          </w:tcPr>
          <w:p>
            <w:pPr>
              <w:jc w:val="right"/>
              <w:ind w:right="679"/>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6"/>
                <w:szCs w:val="16"/>
                <w:color w:val="auto"/>
              </w:rPr>
            </w:pPr>
          </w:p>
        </w:tc>
      </w:tr>
      <w:tr>
        <w:trPr>
          <w:trHeight w:val="224"/>
        </w:trPr>
        <w:tc>
          <w:tcPr>
            <w:tcW w:w="7680" w:type="dxa"/>
            <w:vAlign w:val="bottom"/>
          </w:tcPr>
          <w:p>
            <w:pPr>
              <w:ind w:left="20"/>
              <w:spacing w:after="0"/>
              <w:rPr>
                <w:sz w:val="20"/>
                <w:szCs w:val="20"/>
                <w:color w:val="auto"/>
              </w:rPr>
            </w:pPr>
            <w:r>
              <w:rPr>
                <w:rFonts w:ascii="Arial" w:cs="Arial" w:eastAsia="Arial" w:hAnsi="Arial"/>
                <w:sz w:val="18"/>
                <w:szCs w:val="18"/>
                <w:color w:val="auto"/>
              </w:rPr>
              <w:t>Discount rate</w:t>
            </w:r>
          </w:p>
        </w:tc>
        <w:tc>
          <w:tcPr>
            <w:tcW w:w="112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5.70 %</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3.08 %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543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assumptions used to determine net periodic benefit cost for the years ended December 31: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tcBorders>
              <w:bottom w:val="single" w:sz="8" w:color="auto"/>
            </w:tcBorders>
          </w:tcPr>
          <w:p>
            <w:pPr>
              <w:jc w:val="right"/>
              <w:ind w:right="1195"/>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2660" w:type="dxa"/>
            <w:vAlign w:val="bottom"/>
            <w:tcBorders>
              <w:bottom w:val="single" w:sz="8" w:color="auto"/>
            </w:tcBorders>
          </w:tcPr>
          <w:p>
            <w:pPr>
              <w:jc w:val="right"/>
              <w:ind w:right="115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2660" w:type="dxa"/>
            <w:vAlign w:val="bottom"/>
            <w:tcBorders>
              <w:bottom w:val="single" w:sz="8" w:color="auto"/>
            </w:tcBorders>
          </w:tcPr>
          <w:p>
            <w:pPr>
              <w:jc w:val="right"/>
              <w:ind w:right="1154"/>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960" w:type="dxa"/>
            <w:vAlign w:val="bottom"/>
          </w:tcPr>
          <w:p>
            <w:pPr>
              <w:ind w:left="20"/>
              <w:spacing w:after="0"/>
              <w:rPr>
                <w:sz w:val="20"/>
                <w:szCs w:val="20"/>
                <w:color w:val="auto"/>
              </w:rPr>
            </w:pPr>
            <w:r>
              <w:rPr>
                <w:rFonts w:ascii="Arial" w:cs="Arial" w:eastAsia="Arial" w:hAnsi="Arial"/>
                <w:sz w:val="18"/>
                <w:szCs w:val="18"/>
                <w:color w:val="auto"/>
              </w:rPr>
              <w:t>Discount rate</w:t>
            </w:r>
          </w:p>
        </w:tc>
        <w:tc>
          <w:tcPr>
            <w:tcW w:w="100" w:type="dxa"/>
            <w:vAlign w:val="bottom"/>
          </w:tcPr>
          <w:p>
            <w:pPr>
              <w:spacing w:after="0"/>
              <w:rPr>
                <w:sz w:val="19"/>
                <w:szCs w:val="19"/>
                <w:color w:val="auto"/>
              </w:rPr>
            </w:pPr>
          </w:p>
        </w:tc>
        <w:tc>
          <w:tcPr>
            <w:tcW w:w="2780" w:type="dxa"/>
            <w:vAlign w:val="bottom"/>
            <w:gridSpan w:val="2"/>
          </w:tcPr>
          <w:p>
            <w:pPr>
              <w:jc w:val="right"/>
              <w:ind w:right="40"/>
              <w:spacing w:after="0"/>
              <w:rPr>
                <w:sz w:val="20"/>
                <w:szCs w:val="20"/>
                <w:color w:val="auto"/>
              </w:rPr>
            </w:pPr>
            <w:r>
              <w:rPr>
                <w:rFonts w:ascii="Arial" w:cs="Arial" w:eastAsia="Arial" w:hAnsi="Arial"/>
                <w:sz w:val="18"/>
                <w:szCs w:val="18"/>
                <w:color w:val="auto"/>
              </w:rPr>
              <w:t>3.08 %</w:t>
            </w:r>
          </w:p>
        </w:tc>
        <w:tc>
          <w:tcPr>
            <w:tcW w:w="2740" w:type="dxa"/>
            <w:vAlign w:val="bottom"/>
            <w:gridSpan w:val="2"/>
          </w:tcPr>
          <w:p>
            <w:pPr>
              <w:jc w:val="right"/>
              <w:ind w:right="20"/>
              <w:spacing w:after="0"/>
              <w:rPr>
                <w:sz w:val="20"/>
                <w:szCs w:val="20"/>
                <w:color w:val="auto"/>
              </w:rPr>
            </w:pPr>
            <w:r>
              <w:rPr>
                <w:rFonts w:ascii="Arial" w:cs="Arial" w:eastAsia="Arial" w:hAnsi="Arial"/>
                <w:sz w:val="18"/>
                <w:szCs w:val="18"/>
                <w:color w:val="auto"/>
              </w:rPr>
              <w:t>2.81 %</w:t>
            </w:r>
          </w:p>
        </w:tc>
        <w:tc>
          <w:tcPr>
            <w:tcW w:w="2720" w:type="dxa"/>
            <w:vAlign w:val="bottom"/>
            <w:gridSpan w:val="2"/>
          </w:tcPr>
          <w:p>
            <w:pPr>
              <w:jc w:val="right"/>
              <w:spacing w:after="0"/>
              <w:rPr>
                <w:sz w:val="20"/>
                <w:szCs w:val="20"/>
                <w:color w:val="auto"/>
              </w:rPr>
            </w:pPr>
            <w:r>
              <w:rPr>
                <w:rFonts w:ascii="Arial" w:cs="Arial" w:eastAsia="Arial" w:hAnsi="Arial"/>
                <w:sz w:val="18"/>
                <w:szCs w:val="18"/>
                <w:color w:val="auto"/>
              </w:rPr>
              <w:t>3.56 %</w:t>
            </w:r>
          </w:p>
        </w:tc>
        <w:tc>
          <w:tcPr>
            <w:tcW w:w="0" w:type="dxa"/>
            <w:vAlign w:val="bottom"/>
          </w:tcPr>
          <w:p>
            <w:pPr>
              <w:spacing w:after="0"/>
              <w:rPr>
                <w:sz w:val="1"/>
                <w:szCs w:val="1"/>
                <w:color w:val="auto"/>
              </w:rPr>
            </w:pPr>
          </w:p>
        </w:tc>
      </w:tr>
      <w:tr>
        <w:trPr>
          <w:trHeight w:val="242"/>
        </w:trPr>
        <w:tc>
          <w:tcPr>
            <w:tcW w:w="2960" w:type="dxa"/>
            <w:vAlign w:val="bottom"/>
          </w:tcPr>
          <w:p>
            <w:pPr>
              <w:ind w:left="20"/>
              <w:spacing w:after="0"/>
              <w:rPr>
                <w:sz w:val="20"/>
                <w:szCs w:val="20"/>
                <w:color w:val="auto"/>
              </w:rPr>
            </w:pPr>
            <w:r>
              <w:rPr>
                <w:rFonts w:ascii="Arial" w:cs="Arial" w:eastAsia="Arial" w:hAnsi="Arial"/>
                <w:sz w:val="18"/>
                <w:szCs w:val="18"/>
                <w:color w:val="auto"/>
              </w:rPr>
              <w:t>Expected rate of return on assets</w:t>
            </w:r>
          </w:p>
        </w:tc>
        <w:tc>
          <w:tcPr>
            <w:tcW w:w="2880" w:type="dxa"/>
            <w:vAlign w:val="bottom"/>
            <w:gridSpan w:val="3"/>
          </w:tcPr>
          <w:p>
            <w:pPr>
              <w:jc w:val="right"/>
              <w:ind w:right="40"/>
              <w:spacing w:after="0"/>
              <w:rPr>
                <w:sz w:val="20"/>
                <w:szCs w:val="20"/>
                <w:color w:val="auto"/>
              </w:rPr>
            </w:pPr>
            <w:r>
              <w:rPr>
                <w:rFonts w:ascii="Arial" w:cs="Arial" w:eastAsia="Arial" w:hAnsi="Arial"/>
                <w:sz w:val="18"/>
                <w:szCs w:val="18"/>
                <w:color w:val="auto"/>
              </w:rPr>
              <w:t>5.0 %</w:t>
            </w:r>
          </w:p>
        </w:tc>
        <w:tc>
          <w:tcPr>
            <w:tcW w:w="2740" w:type="dxa"/>
            <w:vAlign w:val="bottom"/>
            <w:gridSpan w:val="2"/>
          </w:tcPr>
          <w:p>
            <w:pPr>
              <w:jc w:val="right"/>
              <w:ind w:right="20"/>
              <w:spacing w:after="0"/>
              <w:rPr>
                <w:sz w:val="20"/>
                <w:szCs w:val="20"/>
                <w:color w:val="auto"/>
              </w:rPr>
            </w:pPr>
            <w:r>
              <w:rPr>
                <w:rFonts w:ascii="Arial" w:cs="Arial" w:eastAsia="Arial" w:hAnsi="Arial"/>
                <w:sz w:val="18"/>
                <w:szCs w:val="18"/>
                <w:color w:val="auto"/>
              </w:rPr>
              <w:t>5.0 %</w:t>
            </w:r>
          </w:p>
        </w:tc>
        <w:tc>
          <w:tcPr>
            <w:tcW w:w="2720" w:type="dxa"/>
            <w:vAlign w:val="bottom"/>
            <w:gridSpan w:val="2"/>
          </w:tcPr>
          <w:p>
            <w:pPr>
              <w:jc w:val="right"/>
              <w:spacing w:after="0"/>
              <w:rPr>
                <w:sz w:val="20"/>
                <w:szCs w:val="20"/>
                <w:color w:val="auto"/>
              </w:rPr>
            </w:pPr>
            <w:r>
              <w:rPr>
                <w:rFonts w:ascii="Arial" w:cs="Arial" w:eastAsia="Arial" w:hAnsi="Arial"/>
                <w:sz w:val="18"/>
                <w:szCs w:val="18"/>
                <w:color w:val="auto"/>
              </w:rPr>
              <w:t>7.0 %</w:t>
            </w:r>
          </w:p>
        </w:tc>
        <w:tc>
          <w:tcPr>
            <w:tcW w:w="0" w:type="dxa"/>
            <w:vAlign w:val="bottom"/>
          </w:tcPr>
          <w:p>
            <w:pPr>
              <w:spacing w:after="0"/>
              <w:rPr>
                <w:sz w:val="1"/>
                <w:szCs w:val="1"/>
                <w:color w:val="auto"/>
              </w:rPr>
            </w:pPr>
          </w:p>
        </w:tc>
      </w:tr>
      <w:tr>
        <w:trPr>
          <w:trHeight w:val="228"/>
        </w:trPr>
        <w:tc>
          <w:tcPr>
            <w:tcW w:w="2960" w:type="dxa"/>
            <w:vAlign w:val="bottom"/>
            <w:vMerge w:val="restart"/>
            <w:shd w:val="clear" w:color="auto" w:fill="CFF0FC"/>
          </w:tcPr>
          <w:p>
            <w:pPr>
              <w:ind w:left="20"/>
              <w:spacing w:after="0"/>
              <w:rPr>
                <w:sz w:val="20"/>
                <w:szCs w:val="20"/>
                <w:color w:val="auto"/>
              </w:rPr>
            </w:pPr>
            <w:r>
              <w:rPr>
                <w:rFonts w:ascii="Arial" w:cs="Arial" w:eastAsia="Arial" w:hAnsi="Arial"/>
                <w:sz w:val="18"/>
                <w:szCs w:val="18"/>
                <w:color w:val="auto"/>
              </w:rPr>
              <w:t xml:space="preserve">Mortality table </w:t>
            </w:r>
            <w:r>
              <w:rPr>
                <w:rFonts w:ascii="Arial" w:cs="Arial" w:eastAsia="Arial" w:hAnsi="Arial"/>
                <w:sz w:val="24"/>
                <w:szCs w:val="24"/>
                <w:color w:val="auto"/>
                <w:vertAlign w:val="superscript"/>
              </w:rPr>
              <w:t>(a)</w:t>
            </w:r>
          </w:p>
        </w:tc>
        <w:tc>
          <w:tcPr>
            <w:tcW w:w="100" w:type="dxa"/>
            <w:vAlign w:val="bottom"/>
            <w:shd w:val="clear" w:color="auto" w:fill="CFF0FC"/>
          </w:tcPr>
          <w:p>
            <w:pPr>
              <w:spacing w:after="0"/>
              <w:rPr>
                <w:sz w:val="19"/>
                <w:szCs w:val="19"/>
                <w:color w:val="auto"/>
              </w:rPr>
            </w:pPr>
          </w:p>
        </w:tc>
        <w:tc>
          <w:tcPr>
            <w:tcW w:w="27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Pri-2012</w:t>
            </w:r>
          </w:p>
        </w:tc>
        <w:tc>
          <w:tcPr>
            <w:tcW w:w="27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Pri-2012</w:t>
            </w:r>
          </w:p>
        </w:tc>
        <w:tc>
          <w:tcPr>
            <w:tcW w:w="26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Pri-2012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960" w:type="dxa"/>
            <w:vAlign w:val="bottom"/>
            <w:vMerge w:val="continue"/>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7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(MP-2021 Scale, Custom)</w:t>
            </w:r>
          </w:p>
        </w:tc>
        <w:tc>
          <w:tcPr>
            <w:tcW w:w="27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(MP-2021 Scale, Custom)</w:t>
            </w:r>
          </w:p>
        </w:tc>
        <w:tc>
          <w:tcPr>
            <w:tcW w:w="26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(MP-2020 Scale, Custom)</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-598805</wp:posOffset>
            </wp:positionV>
            <wp:extent cx="7132320" cy="1543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14" w:lineRule="exact"/>
        <w:rPr>
          <w:sz w:val="20"/>
          <w:szCs w:val="20"/>
          <w:color w:val="auto"/>
        </w:rPr>
      </w:pPr>
    </w:p>
    <w:p>
      <w:pPr>
        <w:ind w:left="380" w:hanging="372"/>
        <w:spacing w:after="0"/>
        <w:tabs>
          <w:tab w:leader="none" w:pos="380" w:val="left"/>
        </w:tabs>
        <w:numPr>
          <w:ilvl w:val="0"/>
          <w:numId w:val="25"/>
        </w:numPr>
        <w:rPr>
          <w:rFonts w:ascii="Arial" w:cs="Arial" w:eastAsia="Arial" w:hAnsi="Arial"/>
          <w:sz w:val="13"/>
          <w:szCs w:val="13"/>
          <w:color w:val="auto"/>
        </w:rPr>
      </w:pPr>
      <w:r>
        <w:rPr>
          <w:rFonts w:ascii="Arial" w:cs="Arial" w:eastAsia="Arial" w:hAnsi="Arial"/>
          <w:sz w:val="16"/>
          <w:szCs w:val="16"/>
          <w:color w:val="auto"/>
        </w:rPr>
        <w:t>The 2022, 2021 and 2020 mortality tables were based on a custom mortality improvement scale to reflect expectations of underlying plan participants.</w:t>
      </w:r>
    </w:p>
    <w:p>
      <w:pPr>
        <w:spacing w:after="0" w:line="207"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The discount rate refers to the interest rate used to discount the estimated future benefit payments to their present value, also referred to as the benefit obligation. The discount rate allows us to estimate what it would cost to settle the pension obligations as of the measurement date, December 31, and is used as the interest rate factor in the following year’s pension cost. We determine the discount rate by selecting a portfolio of high-quality noncallable bonds such that the coupons and maturities exceed or are similar to our expected benefit payments.</w:t>
      </w:r>
    </w:p>
    <w:p>
      <w:pPr>
        <w:spacing w:after="0" w:line="145" w:lineRule="exact"/>
        <w:rPr>
          <w:sz w:val="20"/>
          <w:szCs w:val="20"/>
          <w:color w:val="auto"/>
        </w:rPr>
      </w:pPr>
    </w:p>
    <w:p>
      <w:pPr>
        <w:jc w:val="both"/>
        <w:ind w:right="60"/>
        <w:spacing w:after="0" w:line="275" w:lineRule="auto"/>
        <w:rPr>
          <w:sz w:val="20"/>
          <w:szCs w:val="20"/>
          <w:color w:val="auto"/>
        </w:rPr>
      </w:pPr>
      <w:r>
        <w:rPr>
          <w:rFonts w:ascii="Arial" w:cs="Arial" w:eastAsia="Arial" w:hAnsi="Arial"/>
          <w:sz w:val="17"/>
          <w:szCs w:val="17"/>
          <w:color w:val="auto"/>
        </w:rPr>
        <w:t>In determining the expected rate of return on assets, we consider our historical experience in the plans’ investment portfolio, historical market data and long-term historical relationships, as well as a review of other objective indices including current market factors such as inflation and interest rates. Due to the underfunded nature of these plans, the investment portfolio was allocated to more return seeking investments, and the Company selected an expected rate of return on assets of 7.0% effective for the 2023 valuation, compared to 5.0% for 2022. We will continue to review our long-term rate of return on an annual basis, and if and when appropriate, revise that assumption. The pension trust holds no Company securities.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Our asset allocation as of December 31, 2022 and 2021, and targeted long-term asset allocation for the plans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5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2022</w:t>
            </w:r>
          </w:p>
        </w:tc>
        <w:tc>
          <w:tcPr>
            <w:tcW w:w="16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gridSpan w:val="2"/>
          </w:tcPr>
          <w:p>
            <w:pPr>
              <w:jc w:val="right"/>
              <w:ind w:right="550"/>
              <w:spacing w:after="0"/>
              <w:rPr>
                <w:sz w:val="20"/>
                <w:szCs w:val="20"/>
                <w:color w:val="auto"/>
              </w:rPr>
            </w:pPr>
            <w:r>
              <w:rPr>
                <w:rFonts w:ascii="Arial" w:cs="Arial" w:eastAsia="Arial" w:hAnsi="Arial"/>
                <w:sz w:val="14"/>
                <w:szCs w:val="14"/>
                <w:b w:val="1"/>
                <w:bCs w:val="1"/>
                <w:color w:val="auto"/>
              </w:rPr>
              <w:t>Target</w:t>
            </w:r>
          </w:p>
        </w:tc>
      </w:tr>
      <w:tr>
        <w:trPr>
          <w:trHeight w:val="224"/>
        </w:trPr>
        <w:tc>
          <w:tcPr>
            <w:tcW w:w="64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Equities</w:t>
            </w:r>
          </w:p>
        </w:tc>
        <w:tc>
          <w:tcPr>
            <w:tcW w:w="12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98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42"/>
        </w:trPr>
        <w:tc>
          <w:tcPr>
            <w:tcW w:w="7580" w:type="dxa"/>
            <w:vAlign w:val="bottom"/>
            <w:gridSpan w:val="3"/>
          </w:tcPr>
          <w:p>
            <w:pPr>
              <w:ind w:left="20"/>
              <w:spacing w:after="0"/>
              <w:rPr>
                <w:sz w:val="20"/>
                <w:szCs w:val="20"/>
                <w:color w:val="auto"/>
              </w:rPr>
            </w:pPr>
            <w:r>
              <w:rPr>
                <w:rFonts w:ascii="Arial" w:cs="Arial" w:eastAsia="Arial" w:hAnsi="Arial"/>
                <w:sz w:val="18"/>
                <w:szCs w:val="18"/>
                <w:color w:val="auto"/>
              </w:rPr>
              <w:t>Debt Securities</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48 %</w:t>
            </w:r>
          </w:p>
        </w:tc>
        <w:tc>
          <w:tcPr>
            <w:tcW w:w="98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49 %</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45 %</w:t>
            </w:r>
          </w:p>
        </w:tc>
      </w:tr>
      <w:tr>
        <w:trPr>
          <w:trHeight w:val="243"/>
        </w:trPr>
        <w:tc>
          <w:tcPr>
            <w:tcW w:w="7580" w:type="dxa"/>
            <w:vAlign w:val="bottom"/>
            <w:gridSpan w:val="3"/>
          </w:tcPr>
          <w:p>
            <w:pPr>
              <w:ind w:left="20"/>
              <w:spacing w:after="0"/>
              <w:rPr>
                <w:sz w:val="20"/>
                <w:szCs w:val="20"/>
                <w:color w:val="auto"/>
              </w:rPr>
            </w:pPr>
            <w:r>
              <w:rPr>
                <w:rFonts w:ascii="Arial" w:cs="Arial" w:eastAsia="Arial" w:hAnsi="Arial"/>
                <w:sz w:val="18"/>
                <w:szCs w:val="18"/>
                <w:color w:val="auto"/>
              </w:rPr>
              <w:t>Absolute Return</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26 %</w:t>
            </w:r>
          </w:p>
        </w:tc>
        <w:tc>
          <w:tcPr>
            <w:tcW w:w="98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19 %</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36 %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-453390</wp:posOffset>
            </wp:positionV>
            <wp:extent cx="7132320" cy="1543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543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Contributions and Benefit Payments</w:t>
      </w:r>
    </w:p>
    <w:p>
      <w:pPr>
        <w:spacing w:after="0" w:line="18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expect cash contributions, if required at all, for the defined benefit pension plans that the Company sponsors to be nominal for 2023 and in years thereafter. The average remaining life expectancy of plan participants is approximately 21 years.</w:t>
      </w:r>
    </w:p>
    <w:p>
      <w:pPr>
        <w:spacing w:after="0" w:line="16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449" w:right="279" w:bottom="1440" w:gutter="0" w:footer="0" w:header="0"/>
        </w:sectPr>
      </w:pPr>
    </w:p>
    <w:bookmarkStart w:id="47" w:name="page48"/>
    <w:bookmarkEnd w:id="47"/>
    <w:p>
      <w:pPr>
        <w:jc w:val="both"/>
        <w:spacing w:after="0" w:line="277" w:lineRule="auto"/>
        <w:rPr>
          <w:sz w:val="20"/>
          <w:szCs w:val="20"/>
          <w:color w:val="auto"/>
        </w:rPr>
      </w:pPr>
      <w:r>
        <w:rPr>
          <w:rFonts w:ascii="Arial" w:cs="Arial" w:eastAsia="Arial" w:hAnsi="Arial"/>
          <w:sz w:val="18"/>
          <w:szCs w:val="18"/>
          <w:color w:val="auto"/>
        </w:rPr>
        <w:t>Expected benefit payments from the Plans to participants for each of the next five years and the total cumulative benefit payments for the following five years ended December 31 are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2026</w:t>
            </w: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2027</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2028-2032</w:t>
            </w:r>
          </w:p>
        </w:tc>
      </w:tr>
      <w:tr>
        <w:trPr>
          <w:trHeight w:val="236"/>
        </w:trPr>
        <w:tc>
          <w:tcPr>
            <w:tcW w:w="2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benefit payments</w:t>
            </w:r>
          </w:p>
        </w:tc>
        <w:tc>
          <w:tcPr>
            <w:tcW w:w="14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59.2</w:t>
            </w:r>
          </w:p>
        </w:tc>
        <w:tc>
          <w:tcPr>
            <w:tcW w:w="14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57.9</w:t>
            </w: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57.6</w:t>
            </w: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54.4</w:t>
            </w: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52.8</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229.4</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 and Other Post-retirement Costs</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components of our net periodic pension cost, other post-retirement costs and other amounts recognized in other comprehensive loss (income) before tax for the years ended December 31, 2022, 2021 and 2020 were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r>
      <w:tr>
        <w:trPr>
          <w:trHeight w:val="236"/>
        </w:trPr>
        <w:tc>
          <w:tcPr>
            <w:tcW w:w="6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periodic benefit cost:</w:t>
            </w:r>
          </w:p>
        </w:tc>
        <w:tc>
          <w:tcPr>
            <w:tcW w:w="1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r>
      <w:tr>
        <w:trPr>
          <w:trHeight w:val="236"/>
        </w:trPr>
        <w:tc>
          <w:tcPr>
            <w:tcW w:w="6420" w:type="dxa"/>
            <w:vAlign w:val="bottom"/>
          </w:tcPr>
          <w:p>
            <w:pPr>
              <w:ind w:left="200"/>
              <w:spacing w:after="0"/>
              <w:rPr>
                <w:sz w:val="20"/>
                <w:szCs w:val="20"/>
                <w:color w:val="auto"/>
              </w:rPr>
            </w:pPr>
            <w:r>
              <w:rPr>
                <w:rFonts w:ascii="Arial" w:cs="Arial" w:eastAsia="Arial" w:hAnsi="Arial"/>
                <w:sz w:val="18"/>
                <w:szCs w:val="18"/>
                <w:color w:val="auto"/>
              </w:rPr>
              <w:t>Interest cost</w:t>
            </w:r>
          </w:p>
        </w:tc>
        <w:tc>
          <w:tcPr>
            <w:tcW w:w="4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23.7</w:t>
            </w:r>
          </w:p>
        </w:tc>
        <w:tc>
          <w:tcPr>
            <w:tcW w:w="4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30.7</w:t>
            </w: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37.1</w:t>
            </w:r>
          </w:p>
        </w:tc>
      </w:tr>
      <w:tr>
        <w:trPr>
          <w:trHeight w:val="249"/>
        </w:trPr>
        <w:tc>
          <w:tcPr>
            <w:tcW w:w="64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Expected return on plan assets</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(33.8 )</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(48.0 )</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(61.1 )</w:t>
            </w:r>
          </w:p>
        </w:tc>
      </w:tr>
      <w:tr>
        <w:trPr>
          <w:trHeight w:val="236"/>
        </w:trPr>
        <w:tc>
          <w:tcPr>
            <w:tcW w:w="6420" w:type="dxa"/>
            <w:vAlign w:val="bottom"/>
          </w:tcPr>
          <w:p>
            <w:pPr>
              <w:ind w:left="200"/>
              <w:spacing w:after="0"/>
              <w:rPr>
                <w:sz w:val="20"/>
                <w:szCs w:val="20"/>
                <w:color w:val="auto"/>
              </w:rPr>
            </w:pPr>
            <w:r>
              <w:rPr>
                <w:rFonts w:ascii="Arial" w:cs="Arial" w:eastAsia="Arial" w:hAnsi="Arial"/>
                <w:sz w:val="18"/>
                <w:szCs w:val="18"/>
                <w:color w:val="auto"/>
              </w:rPr>
              <w:t>Amortization of prior net losses</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8.6</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12.1</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14.3</w:t>
            </w:r>
          </w:p>
        </w:tc>
      </w:tr>
      <w:tr>
        <w:trPr>
          <w:trHeight w:val="249"/>
        </w:trPr>
        <w:tc>
          <w:tcPr>
            <w:tcW w:w="64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Amortization of prior net service credit</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(0.4 )</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(0.4 )</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(0.4 )</w:t>
            </w:r>
          </w:p>
        </w:tc>
      </w:tr>
      <w:tr>
        <w:trPr>
          <w:trHeight w:val="236"/>
        </w:trPr>
        <w:tc>
          <w:tcPr>
            <w:tcW w:w="6420" w:type="dxa"/>
            <w:vAlign w:val="bottom"/>
          </w:tcPr>
          <w:p>
            <w:pPr>
              <w:ind w:left="200"/>
              <w:spacing w:after="0"/>
              <w:rPr>
                <w:sz w:val="20"/>
                <w:szCs w:val="20"/>
                <w:color w:val="auto"/>
              </w:rPr>
            </w:pPr>
            <w:r>
              <w:rPr>
                <w:rFonts w:ascii="Arial" w:cs="Arial" w:eastAsia="Arial" w:hAnsi="Arial"/>
                <w:sz w:val="18"/>
                <w:szCs w:val="18"/>
                <w:color w:val="auto"/>
              </w:rPr>
              <w:t>Settlement - Annuitization(s)</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54.9</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64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Settlements - All Others</w:t>
            </w:r>
          </w:p>
        </w:tc>
        <w:tc>
          <w:tcPr>
            <w:tcW w:w="1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12.1</w:t>
            </w:r>
          </w:p>
        </w:tc>
        <w:tc>
          <w:tcPr>
            <w:tcW w:w="1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9.8</w:t>
            </w: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3.6</w:t>
            </w:r>
          </w:p>
        </w:tc>
      </w:tr>
      <w:tr>
        <w:trPr>
          <w:trHeight w:val="236"/>
        </w:trPr>
        <w:tc>
          <w:tcPr>
            <w:tcW w:w="6420" w:type="dxa"/>
            <w:vAlign w:val="bottom"/>
          </w:tcPr>
          <w:p>
            <w:pPr>
              <w:ind w:left="20"/>
              <w:spacing w:after="0"/>
              <w:rPr>
                <w:sz w:val="20"/>
                <w:szCs w:val="20"/>
                <w:color w:val="auto"/>
              </w:rPr>
            </w:pPr>
            <w:r>
              <w:rPr>
                <w:rFonts w:ascii="Arial" w:cs="Arial" w:eastAsia="Arial" w:hAnsi="Arial"/>
                <w:sz w:val="18"/>
                <w:szCs w:val="18"/>
                <w:color w:val="auto"/>
              </w:rPr>
              <w:t>Net periodic pension cost (benefit)</w:t>
            </w:r>
          </w:p>
        </w:tc>
        <w:tc>
          <w:tcPr>
            <w:tcW w:w="4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10.2</w:t>
            </w:r>
          </w:p>
        </w:tc>
        <w:tc>
          <w:tcPr>
            <w:tcW w:w="4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59.1</w:t>
            </w: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(6.5 )</w:t>
            </w:r>
          </w:p>
        </w:tc>
      </w:tr>
      <w:tr>
        <w:trPr>
          <w:trHeight w:val="221"/>
        </w:trPr>
        <w:tc>
          <w:tcPr>
            <w:tcW w:w="6420" w:type="dxa"/>
            <w:vAlign w:val="bottom"/>
            <w:shd w:val="clear" w:color="auto" w:fill="CFF0FC"/>
          </w:tcPr>
          <w:p>
            <w:pPr>
              <w:ind w:left="20"/>
              <w:spacing w:after="0"/>
              <w:rPr>
                <w:sz w:val="20"/>
                <w:szCs w:val="20"/>
                <w:color w:val="auto"/>
              </w:rPr>
            </w:pPr>
            <w:r>
              <w:rPr>
                <w:rFonts w:ascii="Arial" w:cs="Arial" w:eastAsia="Arial" w:hAnsi="Arial"/>
                <w:sz w:val="18"/>
                <w:szCs w:val="18"/>
                <w:color w:val="auto"/>
                <w:w w:val="90"/>
              </w:rPr>
              <w:t>Other changes in plan assets and benefit obligations recognized in other comprehensive</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r>
      <w:tr>
        <w:trPr>
          <w:trHeight w:val="244"/>
        </w:trPr>
        <w:tc>
          <w:tcPr>
            <w:tcW w:w="6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(income):</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r>
      <w:tr>
        <w:trPr>
          <w:trHeight w:val="236"/>
        </w:trPr>
        <w:tc>
          <w:tcPr>
            <w:tcW w:w="6420" w:type="dxa"/>
            <w:vAlign w:val="bottom"/>
          </w:tcPr>
          <w:p>
            <w:pPr>
              <w:ind w:left="200"/>
              <w:spacing w:after="0"/>
              <w:rPr>
                <w:sz w:val="20"/>
                <w:szCs w:val="20"/>
                <w:color w:val="auto"/>
              </w:rPr>
            </w:pPr>
            <w:r>
              <w:rPr>
                <w:rFonts w:ascii="Arial" w:cs="Arial" w:eastAsia="Arial" w:hAnsi="Arial"/>
                <w:sz w:val="18"/>
                <w:szCs w:val="18"/>
                <w:color w:val="auto"/>
              </w:rPr>
              <w:t>Net actuarial (gains) losses and other adjustments</w:t>
            </w:r>
          </w:p>
        </w:tc>
        <w:tc>
          <w:tcPr>
            <w:tcW w:w="4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62.4</w:t>
            </w:r>
          </w:p>
        </w:tc>
        <w:tc>
          <w:tcPr>
            <w:tcW w:w="4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112.7</w:t>
            </w: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(216.7 )</w:t>
            </w:r>
          </w:p>
        </w:tc>
      </w:tr>
      <w:tr>
        <w:trPr>
          <w:trHeight w:val="249"/>
        </w:trPr>
        <w:tc>
          <w:tcPr>
            <w:tcW w:w="64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Settlement - Annuitization(s)</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(54.9 )</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r>
      <w:tr>
        <w:trPr>
          <w:trHeight w:val="236"/>
        </w:trPr>
        <w:tc>
          <w:tcPr>
            <w:tcW w:w="6420" w:type="dxa"/>
            <w:vAlign w:val="bottom"/>
          </w:tcPr>
          <w:p>
            <w:pPr>
              <w:ind w:left="200"/>
              <w:spacing w:after="0"/>
              <w:rPr>
                <w:sz w:val="20"/>
                <w:szCs w:val="20"/>
                <w:color w:val="auto"/>
              </w:rPr>
            </w:pPr>
            <w:r>
              <w:rPr>
                <w:rFonts w:ascii="Arial" w:cs="Arial" w:eastAsia="Arial" w:hAnsi="Arial"/>
                <w:sz w:val="18"/>
                <w:szCs w:val="18"/>
                <w:color w:val="auto"/>
              </w:rPr>
              <w:t>Settlements - All Others</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(12.1 )</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(9.8 )</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(3.6 )</w:t>
            </w:r>
          </w:p>
        </w:tc>
      </w:tr>
      <w:tr>
        <w:trPr>
          <w:trHeight w:val="249"/>
        </w:trPr>
        <w:tc>
          <w:tcPr>
            <w:tcW w:w="64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Amortization of prior net losses</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(8.6 )</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(12.1 )</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(14.3 )</w:t>
            </w:r>
          </w:p>
        </w:tc>
      </w:tr>
      <w:tr>
        <w:trPr>
          <w:trHeight w:val="236"/>
        </w:trPr>
        <w:tc>
          <w:tcPr>
            <w:tcW w:w="6420" w:type="dxa"/>
            <w:vAlign w:val="bottom"/>
          </w:tcPr>
          <w:p>
            <w:pPr>
              <w:ind w:left="200"/>
              <w:spacing w:after="0"/>
              <w:rPr>
                <w:sz w:val="20"/>
                <w:szCs w:val="20"/>
                <w:color w:val="auto"/>
              </w:rPr>
            </w:pPr>
            <w:r>
              <w:rPr>
                <w:rFonts w:ascii="Arial" w:cs="Arial" w:eastAsia="Arial" w:hAnsi="Arial"/>
                <w:sz w:val="18"/>
                <w:szCs w:val="18"/>
                <w:color w:val="auto"/>
              </w:rPr>
              <w:t>Amortization of prior net service credit</w:t>
            </w: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0.4</w:t>
            </w:r>
          </w:p>
        </w:tc>
      </w:tr>
      <w:tr>
        <w:trPr>
          <w:trHeight w:val="236"/>
        </w:trPr>
        <w:tc>
          <w:tcPr>
            <w:tcW w:w="64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recognized in other comprehensive loss (income)</w:t>
            </w:r>
          </w:p>
        </w:tc>
        <w:tc>
          <w:tcPr>
            <w:tcW w:w="1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42.1</w:t>
            </w:r>
          </w:p>
        </w:tc>
        <w:tc>
          <w:tcPr>
            <w:tcW w:w="1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36.3</w:t>
            </w:r>
          </w:p>
        </w:tc>
        <w:tc>
          <w:tcPr>
            <w:tcW w:w="1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(234.2 )</w:t>
            </w:r>
          </w:p>
        </w:tc>
      </w:tr>
      <w:tr>
        <w:trPr>
          <w:trHeight w:val="236"/>
        </w:trPr>
        <w:tc>
          <w:tcPr>
            <w:tcW w:w="6420" w:type="dxa"/>
            <w:vAlign w:val="bottom"/>
          </w:tcPr>
          <w:p>
            <w:pPr>
              <w:ind w:left="20"/>
              <w:spacing w:after="0"/>
              <w:rPr>
                <w:sz w:val="20"/>
                <w:szCs w:val="20"/>
                <w:color w:val="auto"/>
              </w:rPr>
            </w:pPr>
            <w:r>
              <w:rPr>
                <w:rFonts w:ascii="Arial" w:cs="Arial" w:eastAsia="Arial" w:hAnsi="Arial"/>
                <w:sz w:val="18"/>
                <w:szCs w:val="18"/>
                <w:color w:val="auto"/>
                <w:w w:val="95"/>
              </w:rPr>
              <w:t>Total recognized in net periodic benefit cost and other comprehensive loss (income)</w:t>
            </w:r>
          </w:p>
        </w:tc>
        <w:tc>
          <w:tcPr>
            <w:tcW w:w="4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52.3</w:t>
            </w:r>
          </w:p>
        </w:tc>
        <w:tc>
          <w:tcPr>
            <w:tcW w:w="4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95.4</w:t>
            </w: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(240.7 )</w:t>
            </w:r>
          </w:p>
        </w:tc>
      </w:tr>
      <w:tr>
        <w:trPr>
          <w:trHeight w:val="20"/>
        </w:trPr>
        <w:tc>
          <w:tcPr>
            <w:tcW w:w="6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5116830</wp:posOffset>
            </wp:positionH>
            <wp:positionV relativeFrom="paragraph">
              <wp:posOffset>-1574800</wp:posOffset>
            </wp:positionV>
            <wp:extent cx="102870" cy="16256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02870" cy="162560"/>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-1574800</wp:posOffset>
            </wp:positionV>
            <wp:extent cx="93980" cy="16256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-187960</wp:posOffset>
            </wp:positionV>
            <wp:extent cx="102870" cy="18859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02870" cy="18859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-187960</wp:posOffset>
            </wp:positionV>
            <wp:extent cx="93980" cy="18859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93980" cy="188595"/>
                    </a:xfrm>
                    <a:prstGeom prst="rect">
                      <a:avLst/>
                    </a:prstGeom>
                    <a:noFill/>
                  </pic:spPr>
                </pic:pic>
              </a:graphicData>
            </a:graphic>
          </wp:anchor>
        </w:drawing>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years ended December 31, 2022 and 2021, there was no income tax expense (benefit) related to pension amounts in other comprehensive income. During the year ended December 31, 2020 the income tax expense related to pension amounts in other comprehensive (income) loss was $14.6 million.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Gains and Losses</w:t>
      </w:r>
    </w:p>
    <w:p>
      <w:pPr>
        <w:spacing w:after="0" w:line="18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Gains and losses occur due to changes in the amount of either the projected benefit obligation or plan assets from experience being different than assumed and from changes in assumptions. We recognize an amortization of the net gain or loss as a component of net pension cost during a year if, as of the beginning of the year, that net gain or loss exceeds ten percent of the greater of the benefit obligation or the market-related value of plan assets. If an amortization is required, it equals the amount of net gain or loss that exceeds the ten percent corridor, amortized over the average remaining life expectancy of plan participants.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w:t>
      </w:r>
    </w:p>
    <w:p>
      <w:pPr>
        <w:spacing w:after="0" w:line="18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pension assets are stated at fair value. Fair value is the price that would be received to sell an asset or paid to transfer a liability in an orderly transaction between market participants at the measurement date. The fair value of Level 1 assets are based on quoted market prices. The majority of the Level 1 assets presented in the table below include common stock of both U.S. and, to a lesser extent, international companies, and mutual funds, which are actively traded and priced in the market. The fair value of Level 2 assets are based on other significant observable inputs, including quoted prices for similar securities. The Level 2 assets presented in the below table consist primarily of fixed income and absolute return funds where values are based on the quoted prices of similar securities and observable market data. Level 3 assets are those where the fair value is determined based on unobservable inputs. The Level 3 assets consist primarily of private equities, and the assets are either priced at cost less cash distributions for recent asset purchases, third-party valuations or discounted cash flow methods. Assets that are not considered Level 1, 2 or 3 assets are valued at the net asset value (“NAV”) of the underlying investments held, as determined by the fund managers.</w:t>
      </w:r>
    </w:p>
    <w:p>
      <w:pPr>
        <w:spacing w:after="0" w:line="1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methods and assumptions used by third-party pricing sources may include a variety of factors, such as recently executed transactions, existing contracts, economic conditions, industry or market developments, and overall credit ratings. These estimated fair values may differ significantly from the values that would have been used had a ready market for these investments existed and as such, differences could be material. The availability of observable data is monitored by plan management to assess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8" w:name="page49"/>
    <w:bookmarkEnd w:id="48"/>
    <w:p>
      <w:pPr>
        <w:spacing w:after="0" w:line="277" w:lineRule="auto"/>
        <w:rPr>
          <w:sz w:val="20"/>
          <w:szCs w:val="20"/>
          <w:color w:val="auto"/>
        </w:rPr>
      </w:pPr>
      <w:r>
        <w:rPr>
          <w:rFonts w:ascii="Arial" w:cs="Arial" w:eastAsia="Arial" w:hAnsi="Arial"/>
          <w:sz w:val="18"/>
          <w:szCs w:val="18"/>
          <w:color w:val="auto"/>
        </w:rPr>
        <w:t>appropriate classification of financial instruments within the fair value hierarchy. Depending upon the availability of such inputs, specific securities may transfer between levels. In such instances, the transfer is reported at the end of the reporting period.</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The tables below detail by level, within the fair value hierarchy, the pension assets at fair value as of December 31, 2022 and December 31, 2021: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4120" w:type="dxa"/>
            <w:vAlign w:val="bottom"/>
            <w:tcBorders>
              <w:bottom w:val="single" w:sz="8" w:color="auto"/>
            </w:tcBorders>
            <w:gridSpan w:val="12"/>
          </w:tcPr>
          <w:p>
            <w:pPr>
              <w:jc w:val="right"/>
              <w:ind w:right="30"/>
              <w:spacing w:after="0"/>
              <w:rPr>
                <w:sz w:val="20"/>
                <w:szCs w:val="20"/>
                <w:color w:val="auto"/>
              </w:rPr>
            </w:pPr>
            <w:r>
              <w:rPr>
                <w:rFonts w:ascii="Arial" w:cs="Arial" w:eastAsia="Arial" w:hAnsi="Arial"/>
                <w:sz w:val="14"/>
                <w:szCs w:val="14"/>
                <w:b w:val="1"/>
                <w:bCs w:val="1"/>
                <w:color w:val="auto"/>
              </w:rPr>
              <w:t>Pension Assets at Fair Value as of December 31, 2022</w:t>
            </w:r>
          </w:p>
        </w:tc>
        <w:tc>
          <w:tcPr>
            <w:tcW w:w="1020" w:type="dxa"/>
            <w:vAlign w:val="bottom"/>
            <w:tcBorders>
              <w:bottom w:val="single" w:sz="8" w:color="auto"/>
            </w:tcBorders>
          </w:tcPr>
          <w:p>
            <w:pPr>
              <w:spacing w:after="0"/>
              <w:rPr>
                <w:sz w:val="15"/>
                <w:szCs w:val="15"/>
                <w:color w:val="auto"/>
              </w:rPr>
            </w:pPr>
          </w:p>
        </w:tc>
      </w:tr>
      <w:tr>
        <w:trPr>
          <w:trHeight w:val="169"/>
        </w:trPr>
        <w:tc>
          <w:tcPr>
            <w:tcW w:w="5840" w:type="dxa"/>
            <w:vAlign w:val="bottom"/>
            <w:gridSpan w:val="3"/>
          </w:tcPr>
          <w:p>
            <w:pPr>
              <w:ind w:left="2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4"/>
                <w:szCs w:val="14"/>
                <w:color w:val="auto"/>
              </w:rPr>
            </w:pPr>
          </w:p>
        </w:tc>
        <w:tc>
          <w:tcPr>
            <w:tcW w:w="1000" w:type="dxa"/>
            <w:vAlign w:val="bottom"/>
          </w:tcPr>
          <w:p>
            <w:pPr>
              <w:jc w:val="right"/>
              <w:ind w:right="454"/>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353"/>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373"/>
              <w:spacing w:after="0"/>
              <w:rPr>
                <w:sz w:val="20"/>
                <w:szCs w:val="20"/>
                <w:color w:val="auto"/>
              </w:rPr>
            </w:pPr>
            <w:r>
              <w:rPr>
                <w:rFonts w:ascii="Arial" w:cs="Arial" w:eastAsia="Arial" w:hAnsi="Arial"/>
                <w:sz w:val="14"/>
                <w:szCs w:val="14"/>
                <w:b w:val="1"/>
                <w:bCs w:val="1"/>
                <w:color w:val="auto"/>
              </w:rPr>
              <w:t>Level 3</w:t>
            </w:r>
          </w:p>
        </w:tc>
      </w:tr>
      <w:tr>
        <w:trPr>
          <w:trHeight w:val="236"/>
        </w:trPr>
        <w:tc>
          <w:tcPr>
            <w:tcW w:w="56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Equities</w:t>
            </w: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w:t>
            </w:r>
          </w:p>
        </w:tc>
      </w:tr>
      <w:tr>
        <w:trPr>
          <w:trHeight w:val="236"/>
        </w:trPr>
        <w:tc>
          <w:tcPr>
            <w:tcW w:w="5840" w:type="dxa"/>
            <w:vAlign w:val="bottom"/>
            <w:gridSpan w:val="3"/>
          </w:tcPr>
          <w:p>
            <w:pPr>
              <w:ind w:left="20"/>
              <w:spacing w:after="0"/>
              <w:rPr>
                <w:sz w:val="20"/>
                <w:szCs w:val="20"/>
                <w:color w:val="auto"/>
              </w:rPr>
            </w:pPr>
            <w:r>
              <w:rPr>
                <w:rFonts w:ascii="Arial" w:cs="Arial" w:eastAsia="Arial" w:hAnsi="Arial"/>
                <w:sz w:val="18"/>
                <w:szCs w:val="18"/>
                <w:color w:val="auto"/>
              </w:rPr>
              <w:t>Private equities</w:t>
            </w:r>
          </w:p>
        </w:tc>
        <w:tc>
          <w:tcPr>
            <w:tcW w:w="260" w:type="dxa"/>
            <w:vAlign w:val="bottom"/>
          </w:tcPr>
          <w:p>
            <w:pPr>
              <w:spacing w:after="0"/>
              <w:rPr>
                <w:sz w:val="20"/>
                <w:szCs w:val="20"/>
                <w:color w:val="auto"/>
              </w:rPr>
            </w:pPr>
          </w:p>
        </w:tc>
        <w:tc>
          <w:tcPr>
            <w:tcW w:w="1000" w:type="dxa"/>
            <w:vAlign w:val="bottom"/>
          </w:tcPr>
          <w:p>
            <w:pPr>
              <w:jc w:val="right"/>
              <w:ind w:right="54"/>
              <w:spacing w:after="0"/>
              <w:rPr>
                <w:sz w:val="20"/>
                <w:szCs w:val="20"/>
                <w:color w:val="auto"/>
              </w:rPr>
            </w:pPr>
            <w:r>
              <w:rPr>
                <w:rFonts w:ascii="Arial" w:cs="Arial" w:eastAsia="Arial" w:hAnsi="Arial"/>
                <w:sz w:val="18"/>
                <w:szCs w:val="18"/>
                <w:color w:val="auto"/>
              </w:rPr>
              <w:t>19.1</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19.1</w:t>
            </w:r>
          </w:p>
        </w:tc>
      </w:tr>
      <w:tr>
        <w:trPr>
          <w:trHeight w:val="249"/>
        </w:trPr>
        <w:tc>
          <w:tcPr>
            <w:tcW w:w="584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Fixed income:</w:t>
            </w: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r>
      <w:tr>
        <w:trPr>
          <w:trHeight w:val="236"/>
        </w:trPr>
        <w:tc>
          <w:tcPr>
            <w:tcW w:w="5840" w:type="dxa"/>
            <w:vAlign w:val="bottom"/>
            <w:gridSpan w:val="3"/>
          </w:tcPr>
          <w:p>
            <w:pPr>
              <w:ind w:left="200"/>
              <w:spacing w:after="0"/>
              <w:rPr>
                <w:sz w:val="20"/>
                <w:szCs w:val="20"/>
                <w:color w:val="auto"/>
              </w:rPr>
            </w:pPr>
            <w:r>
              <w:rPr>
                <w:rFonts w:ascii="Arial" w:cs="Arial" w:eastAsia="Arial" w:hAnsi="Arial"/>
                <w:sz w:val="18"/>
                <w:szCs w:val="18"/>
                <w:color w:val="auto"/>
              </w:rPr>
              <w:t>Corporate and other</w:t>
            </w:r>
          </w:p>
        </w:tc>
        <w:tc>
          <w:tcPr>
            <w:tcW w:w="260" w:type="dxa"/>
            <w:vAlign w:val="bottom"/>
          </w:tcPr>
          <w:p>
            <w:pPr>
              <w:spacing w:after="0"/>
              <w:rPr>
                <w:sz w:val="20"/>
                <w:szCs w:val="20"/>
                <w:color w:val="auto"/>
              </w:rPr>
            </w:pPr>
          </w:p>
        </w:tc>
        <w:tc>
          <w:tcPr>
            <w:tcW w:w="1000" w:type="dxa"/>
            <w:vAlign w:val="bottom"/>
          </w:tcPr>
          <w:p>
            <w:pPr>
              <w:jc w:val="right"/>
              <w:ind w:right="54"/>
              <w:spacing w:after="0"/>
              <w:rPr>
                <w:sz w:val="20"/>
                <w:szCs w:val="20"/>
                <w:color w:val="auto"/>
              </w:rPr>
            </w:pPr>
            <w:r>
              <w:rPr>
                <w:rFonts w:ascii="Arial" w:cs="Arial" w:eastAsia="Arial" w:hAnsi="Arial"/>
                <w:sz w:val="18"/>
                <w:szCs w:val="18"/>
                <w:color w:val="auto"/>
              </w:rPr>
              <w:t>8.2</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8.2</w:t>
            </w:r>
          </w:p>
        </w:tc>
      </w:tr>
      <w:tr>
        <w:trPr>
          <w:trHeight w:val="249"/>
        </w:trPr>
        <w:tc>
          <w:tcPr>
            <w:tcW w:w="5840" w:type="dxa"/>
            <w:vAlign w:val="bottom"/>
            <w:gridSpan w:val="3"/>
            <w:shd w:val="clear" w:color="auto" w:fill="CFF0FC"/>
          </w:tcPr>
          <w:p>
            <w:pPr>
              <w:ind w:left="200"/>
              <w:spacing w:after="0"/>
              <w:rPr>
                <w:sz w:val="20"/>
                <w:szCs w:val="20"/>
                <w:color w:val="auto"/>
              </w:rPr>
            </w:pPr>
            <w:r>
              <w:rPr>
                <w:rFonts w:ascii="Arial" w:cs="Arial" w:eastAsia="Arial" w:hAnsi="Arial"/>
                <w:sz w:val="18"/>
                <w:szCs w:val="18"/>
                <w:color w:val="auto"/>
              </w:rPr>
              <w:t>Government</w:t>
            </w: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158.7</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63.2</w:t>
            </w: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95.5</w:t>
            </w: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r>
      <w:tr>
        <w:trPr>
          <w:trHeight w:val="236"/>
        </w:trPr>
        <w:tc>
          <w:tcPr>
            <w:tcW w:w="5840" w:type="dxa"/>
            <w:vAlign w:val="bottom"/>
            <w:gridSpan w:val="3"/>
          </w:tcPr>
          <w:p>
            <w:pPr>
              <w:ind w:left="20"/>
              <w:spacing w:after="0"/>
              <w:rPr>
                <w:sz w:val="20"/>
                <w:szCs w:val="20"/>
                <w:color w:val="auto"/>
              </w:rPr>
            </w:pPr>
            <w:r>
              <w:rPr>
                <w:rFonts w:ascii="Arial" w:cs="Arial" w:eastAsia="Arial" w:hAnsi="Arial"/>
                <w:sz w:val="18"/>
                <w:szCs w:val="18"/>
                <w:color w:val="auto"/>
              </w:rPr>
              <w:t>Interest bearing</w:t>
            </w:r>
          </w:p>
        </w:tc>
        <w:tc>
          <w:tcPr>
            <w:tcW w:w="260" w:type="dxa"/>
            <w:vAlign w:val="bottom"/>
          </w:tcPr>
          <w:p>
            <w:pPr>
              <w:spacing w:after="0"/>
              <w:rPr>
                <w:sz w:val="20"/>
                <w:szCs w:val="20"/>
                <w:color w:val="auto"/>
              </w:rPr>
            </w:pPr>
          </w:p>
        </w:tc>
        <w:tc>
          <w:tcPr>
            <w:tcW w:w="1000" w:type="dxa"/>
            <w:vAlign w:val="bottom"/>
          </w:tcPr>
          <w:p>
            <w:pPr>
              <w:jc w:val="right"/>
              <w:ind w:right="54"/>
              <w:spacing w:after="0"/>
              <w:rPr>
                <w:sz w:val="20"/>
                <w:szCs w:val="20"/>
                <w:color w:val="auto"/>
              </w:rPr>
            </w:pPr>
            <w:r>
              <w:rPr>
                <w:rFonts w:ascii="Arial" w:cs="Arial" w:eastAsia="Arial" w:hAnsi="Arial"/>
                <w:sz w:val="18"/>
                <w:szCs w:val="18"/>
                <w:color w:val="auto"/>
              </w:rPr>
              <w:t>54.2</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53.0</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w:t>
            </w:r>
          </w:p>
        </w:tc>
      </w:tr>
      <w:tr>
        <w:trPr>
          <w:trHeight w:val="249"/>
        </w:trPr>
        <w:tc>
          <w:tcPr>
            <w:tcW w:w="5840" w:type="dxa"/>
            <w:vAlign w:val="bottom"/>
            <w:tcBorders>
              <w:bottom w:val="single" w:sz="8" w:color="CFF0FC"/>
            </w:tcBorders>
            <w:gridSpan w:val="3"/>
            <w:shd w:val="clear" w:color="auto" w:fill="CFF0FC"/>
          </w:tcPr>
          <w:p>
            <w:pPr>
              <w:ind w:left="20"/>
              <w:spacing w:after="0" w:line="249" w:lineRule="exact"/>
              <w:rPr>
                <w:sz w:val="20"/>
                <w:szCs w:val="20"/>
                <w:color w:val="auto"/>
              </w:rPr>
            </w:pPr>
            <w:r>
              <w:rPr>
                <w:rFonts w:ascii="Arial" w:cs="Arial" w:eastAsia="Arial" w:hAnsi="Arial"/>
                <w:sz w:val="18"/>
                <w:szCs w:val="18"/>
                <w:color w:val="auto"/>
              </w:rPr>
              <w:t>Investments measured at NAV</w:t>
            </w:r>
            <w:r>
              <w:rPr>
                <w:rFonts w:ascii="Arial" w:cs="Arial" w:eastAsia="Arial" w:hAnsi="Arial"/>
                <w:sz w:val="24"/>
                <w:szCs w:val="24"/>
                <w:color w:val="auto"/>
                <w:vertAlign w:val="superscript"/>
              </w:rPr>
              <w:t>(a)</w:t>
            </w:r>
          </w:p>
        </w:tc>
        <w:tc>
          <w:tcPr>
            <w:tcW w:w="2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245.2</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w:t>
            </w:r>
          </w:p>
        </w:tc>
      </w:tr>
      <w:tr>
        <w:trPr>
          <w:trHeight w:val="230"/>
        </w:trPr>
        <w:tc>
          <w:tcPr>
            <w:tcW w:w="5840" w:type="dxa"/>
            <w:vAlign w:val="bottom"/>
            <w:gridSpan w:val="3"/>
          </w:tcPr>
          <w:p>
            <w:pPr>
              <w:ind w:left="20"/>
              <w:spacing w:after="0"/>
              <w:rPr>
                <w:sz w:val="20"/>
                <w:szCs w:val="20"/>
                <w:color w:val="auto"/>
              </w:rPr>
            </w:pPr>
            <w:r>
              <w:rPr>
                <w:rFonts w:ascii="Arial" w:cs="Arial" w:eastAsia="Arial" w:hAnsi="Arial"/>
                <w:sz w:val="18"/>
                <w:szCs w:val="18"/>
                <w:color w:val="auto"/>
              </w:rPr>
              <w:t>Total plan assets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487.9</w:t>
            </w: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118.7</w:t>
            </w:r>
          </w:p>
        </w:tc>
        <w:tc>
          <w:tcPr>
            <w:tcW w:w="140" w:type="dxa"/>
            <w:vAlign w:val="bottom"/>
            <w:gridSpan w:val="2"/>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96.7</w:t>
            </w:r>
          </w:p>
        </w:tc>
        <w:tc>
          <w:tcPr>
            <w:tcW w:w="20" w:type="dxa"/>
            <w:vAlign w:val="bottom"/>
            <w:tcBorders>
              <w:bottom w:val="single" w:sz="8" w:color="auto"/>
            </w:tcBorders>
          </w:tcPr>
          <w:p>
            <w:pPr>
              <w:spacing w:after="0"/>
              <w:rPr>
                <w:sz w:val="19"/>
                <w:szCs w:val="19"/>
                <w:color w:val="auto"/>
              </w:rPr>
            </w:pPr>
          </w:p>
        </w:tc>
        <w:tc>
          <w:tcPr>
            <w:tcW w:w="140" w:type="dxa"/>
            <w:vAlign w:val="bottom"/>
            <w:gridSpan w:val="2"/>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27.3</w:t>
            </w:r>
          </w:p>
        </w:tc>
      </w:tr>
      <w:tr>
        <w:trPr>
          <w:trHeight w:val="20"/>
        </w:trPr>
        <w:tc>
          <w:tcPr>
            <w:tcW w:w="5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378"/>
        </w:trPr>
        <w:tc>
          <w:tcPr>
            <w:tcW w:w="5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gridSpan w:val="12"/>
          </w:tcPr>
          <w:p>
            <w:pPr>
              <w:jc w:val="right"/>
              <w:ind w:right="30"/>
              <w:spacing w:after="0"/>
              <w:rPr>
                <w:sz w:val="20"/>
                <w:szCs w:val="20"/>
                <w:color w:val="auto"/>
              </w:rPr>
            </w:pPr>
            <w:r>
              <w:rPr>
                <w:rFonts w:ascii="Arial" w:cs="Arial" w:eastAsia="Arial" w:hAnsi="Arial"/>
                <w:sz w:val="14"/>
                <w:szCs w:val="14"/>
                <w:b w:val="1"/>
                <w:bCs w:val="1"/>
                <w:color w:val="auto"/>
              </w:rPr>
              <w:t>Pension Assets at Fair Value as of December 31, 2021</w:t>
            </w:r>
          </w:p>
        </w:tc>
        <w:tc>
          <w:tcPr>
            <w:tcW w:w="1020" w:type="dxa"/>
            <w:vAlign w:val="bottom"/>
            <w:tcBorders>
              <w:bottom w:val="single" w:sz="8" w:color="auto"/>
            </w:tcBorders>
          </w:tcPr>
          <w:p>
            <w:pPr>
              <w:spacing w:after="0"/>
              <w:rPr>
                <w:sz w:val="24"/>
                <w:szCs w:val="24"/>
                <w:color w:val="auto"/>
              </w:rPr>
            </w:pPr>
          </w:p>
        </w:tc>
      </w:tr>
      <w:tr>
        <w:trPr>
          <w:trHeight w:val="169"/>
        </w:trPr>
        <w:tc>
          <w:tcPr>
            <w:tcW w:w="5840" w:type="dxa"/>
            <w:vAlign w:val="bottom"/>
            <w:gridSpan w:val="3"/>
          </w:tcPr>
          <w:p>
            <w:pPr>
              <w:ind w:left="2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4"/>
                <w:szCs w:val="14"/>
                <w:color w:val="auto"/>
              </w:rPr>
            </w:pPr>
          </w:p>
        </w:tc>
        <w:tc>
          <w:tcPr>
            <w:tcW w:w="1000" w:type="dxa"/>
            <w:vAlign w:val="bottom"/>
          </w:tcPr>
          <w:p>
            <w:pPr>
              <w:jc w:val="right"/>
              <w:ind w:right="454"/>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373"/>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393"/>
              <w:spacing w:after="0"/>
              <w:rPr>
                <w:sz w:val="20"/>
                <w:szCs w:val="20"/>
                <w:color w:val="auto"/>
              </w:rPr>
            </w:pPr>
            <w:r>
              <w:rPr>
                <w:rFonts w:ascii="Arial" w:cs="Arial" w:eastAsia="Arial" w:hAnsi="Arial"/>
                <w:sz w:val="14"/>
                <w:szCs w:val="14"/>
                <w:b w:val="1"/>
                <w:bCs w:val="1"/>
                <w:color w:val="auto"/>
              </w:rPr>
              <w:t>Level 3</w:t>
            </w:r>
          </w:p>
        </w:tc>
      </w:tr>
      <w:tr>
        <w:trPr>
          <w:trHeight w:val="236"/>
        </w:trPr>
        <w:tc>
          <w:tcPr>
            <w:tcW w:w="5700" w:type="dxa"/>
            <w:vAlign w:val="bottom"/>
            <w:tcBorders>
              <w:top w:val="single" w:sz="8" w:color="auto"/>
            </w:tcBorders>
            <w:gridSpan w:val="2"/>
            <w:shd w:val="clear" w:color="auto" w:fill="CFF0FC"/>
          </w:tcPr>
          <w:p>
            <w:pPr>
              <w:ind w:left="20"/>
              <w:spacing w:after="0"/>
              <w:rPr>
                <w:sz w:val="20"/>
                <w:szCs w:val="20"/>
                <w:color w:val="auto"/>
              </w:rPr>
            </w:pPr>
            <w:r>
              <w:rPr>
                <w:rFonts w:ascii="Arial" w:cs="Arial" w:eastAsia="Arial" w:hAnsi="Arial"/>
                <w:sz w:val="18"/>
                <w:szCs w:val="18"/>
                <w:color w:val="auto"/>
              </w:rPr>
              <w:t>Equities</w:t>
            </w:r>
          </w:p>
        </w:tc>
        <w:tc>
          <w:tcPr>
            <w:tcW w:w="14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59.0</w:t>
            </w:r>
          </w:p>
        </w:tc>
        <w:tc>
          <w:tcPr>
            <w:tcW w:w="14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59.0</w:t>
            </w:r>
          </w:p>
        </w:tc>
        <w:tc>
          <w:tcPr>
            <w:tcW w:w="120" w:type="dxa"/>
            <w:vAlign w:val="bottom"/>
            <w:shd w:val="clear" w:color="auto" w:fill="CFF0FC"/>
          </w:tcPr>
          <w:p>
            <w:pPr>
              <w:spacing w:after="0"/>
              <w:rPr>
                <w:sz w:val="20"/>
                <w:szCs w:val="20"/>
                <w:color w:val="auto"/>
              </w:rPr>
            </w:pPr>
          </w:p>
        </w:tc>
        <w:tc>
          <w:tcPr>
            <w:tcW w:w="220" w:type="dxa"/>
            <w:vAlign w:val="bottom"/>
            <w:tcBorders>
              <w:top w:val="single" w:sz="8" w:color="auto"/>
            </w:tcBorders>
            <w:gridSpan w:val="2"/>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60" w:type="dxa"/>
            <w:vAlign w:val="bottom"/>
            <w:tcBorders>
              <w:top w:val="single" w:sz="8" w:color="auto"/>
            </w:tcBorders>
            <w:gridSpan w:val="2"/>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w:t>
            </w:r>
          </w:p>
        </w:tc>
      </w:tr>
      <w:tr>
        <w:trPr>
          <w:trHeight w:val="236"/>
        </w:trPr>
        <w:tc>
          <w:tcPr>
            <w:tcW w:w="5840" w:type="dxa"/>
            <w:vAlign w:val="bottom"/>
            <w:gridSpan w:val="3"/>
          </w:tcPr>
          <w:p>
            <w:pPr>
              <w:ind w:left="20"/>
              <w:spacing w:after="0"/>
              <w:rPr>
                <w:sz w:val="20"/>
                <w:szCs w:val="20"/>
                <w:color w:val="auto"/>
              </w:rPr>
            </w:pPr>
            <w:r>
              <w:rPr>
                <w:rFonts w:ascii="Arial" w:cs="Arial" w:eastAsia="Arial" w:hAnsi="Arial"/>
                <w:sz w:val="18"/>
                <w:szCs w:val="18"/>
                <w:color w:val="auto"/>
              </w:rPr>
              <w:t>Private equities</w:t>
            </w:r>
          </w:p>
        </w:tc>
        <w:tc>
          <w:tcPr>
            <w:tcW w:w="260" w:type="dxa"/>
            <w:vAlign w:val="bottom"/>
          </w:tcPr>
          <w:p>
            <w:pPr>
              <w:spacing w:after="0"/>
              <w:rPr>
                <w:sz w:val="20"/>
                <w:szCs w:val="20"/>
                <w:color w:val="auto"/>
              </w:rPr>
            </w:pPr>
          </w:p>
        </w:tc>
        <w:tc>
          <w:tcPr>
            <w:tcW w:w="1000" w:type="dxa"/>
            <w:vAlign w:val="bottom"/>
          </w:tcPr>
          <w:p>
            <w:pPr>
              <w:jc w:val="right"/>
              <w:ind w:right="54"/>
              <w:spacing w:after="0"/>
              <w:rPr>
                <w:sz w:val="20"/>
                <w:szCs w:val="20"/>
                <w:color w:val="auto"/>
              </w:rPr>
            </w:pPr>
            <w:r>
              <w:rPr>
                <w:rFonts w:ascii="Arial" w:cs="Arial" w:eastAsia="Arial" w:hAnsi="Arial"/>
                <w:sz w:val="18"/>
                <w:szCs w:val="18"/>
                <w:color w:val="auto"/>
              </w:rPr>
              <w:t>18.6</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18.6</w:t>
            </w:r>
          </w:p>
        </w:tc>
      </w:tr>
      <w:tr>
        <w:trPr>
          <w:trHeight w:val="249"/>
        </w:trPr>
        <w:tc>
          <w:tcPr>
            <w:tcW w:w="584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Fixed income:</w:t>
            </w: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r>
      <w:tr>
        <w:trPr>
          <w:trHeight w:val="236"/>
        </w:trPr>
        <w:tc>
          <w:tcPr>
            <w:tcW w:w="5840" w:type="dxa"/>
            <w:vAlign w:val="bottom"/>
            <w:gridSpan w:val="3"/>
          </w:tcPr>
          <w:p>
            <w:pPr>
              <w:ind w:left="200"/>
              <w:spacing w:after="0"/>
              <w:rPr>
                <w:sz w:val="20"/>
                <w:szCs w:val="20"/>
                <w:color w:val="auto"/>
              </w:rPr>
            </w:pPr>
            <w:r>
              <w:rPr>
                <w:rFonts w:ascii="Arial" w:cs="Arial" w:eastAsia="Arial" w:hAnsi="Arial"/>
                <w:sz w:val="18"/>
                <w:szCs w:val="18"/>
                <w:color w:val="auto"/>
              </w:rPr>
              <w:t>Corporate and other</w:t>
            </w:r>
          </w:p>
        </w:tc>
        <w:tc>
          <w:tcPr>
            <w:tcW w:w="260" w:type="dxa"/>
            <w:vAlign w:val="bottom"/>
          </w:tcPr>
          <w:p>
            <w:pPr>
              <w:spacing w:after="0"/>
              <w:rPr>
                <w:sz w:val="20"/>
                <w:szCs w:val="20"/>
                <w:color w:val="auto"/>
              </w:rPr>
            </w:pPr>
          </w:p>
        </w:tc>
        <w:tc>
          <w:tcPr>
            <w:tcW w:w="1000" w:type="dxa"/>
            <w:vAlign w:val="bottom"/>
          </w:tcPr>
          <w:p>
            <w:pPr>
              <w:jc w:val="right"/>
              <w:ind w:right="54"/>
              <w:spacing w:after="0"/>
              <w:rPr>
                <w:sz w:val="20"/>
                <w:szCs w:val="20"/>
                <w:color w:val="auto"/>
              </w:rPr>
            </w:pPr>
            <w:r>
              <w:rPr>
                <w:rFonts w:ascii="Arial" w:cs="Arial" w:eastAsia="Arial" w:hAnsi="Arial"/>
                <w:sz w:val="18"/>
                <w:szCs w:val="18"/>
                <w:color w:val="auto"/>
              </w:rPr>
              <w:t>81.4</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73.4</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8.0</w:t>
            </w:r>
          </w:p>
        </w:tc>
      </w:tr>
      <w:tr>
        <w:trPr>
          <w:trHeight w:val="249"/>
        </w:trPr>
        <w:tc>
          <w:tcPr>
            <w:tcW w:w="5840" w:type="dxa"/>
            <w:vAlign w:val="bottom"/>
            <w:gridSpan w:val="3"/>
            <w:shd w:val="clear" w:color="auto" w:fill="CFF0FC"/>
          </w:tcPr>
          <w:p>
            <w:pPr>
              <w:ind w:left="200"/>
              <w:spacing w:after="0"/>
              <w:rPr>
                <w:sz w:val="20"/>
                <w:szCs w:val="20"/>
                <w:color w:val="auto"/>
              </w:rPr>
            </w:pPr>
            <w:r>
              <w:rPr>
                <w:rFonts w:ascii="Arial" w:cs="Arial" w:eastAsia="Arial" w:hAnsi="Arial"/>
                <w:sz w:val="18"/>
                <w:szCs w:val="18"/>
                <w:color w:val="auto"/>
              </w:rPr>
              <w:t>Government</w:t>
            </w: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206.2</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198.0</w:t>
            </w: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r>
      <w:tr>
        <w:trPr>
          <w:trHeight w:val="236"/>
        </w:trPr>
        <w:tc>
          <w:tcPr>
            <w:tcW w:w="5840" w:type="dxa"/>
            <w:vAlign w:val="bottom"/>
            <w:gridSpan w:val="3"/>
          </w:tcPr>
          <w:p>
            <w:pPr>
              <w:ind w:left="20"/>
              <w:spacing w:after="0"/>
              <w:rPr>
                <w:sz w:val="20"/>
                <w:szCs w:val="20"/>
                <w:color w:val="auto"/>
              </w:rPr>
            </w:pPr>
            <w:r>
              <w:rPr>
                <w:rFonts w:ascii="Arial" w:cs="Arial" w:eastAsia="Arial" w:hAnsi="Arial"/>
                <w:sz w:val="18"/>
                <w:szCs w:val="18"/>
                <w:color w:val="auto"/>
              </w:rPr>
              <w:t>Interest bearing</w:t>
            </w:r>
          </w:p>
        </w:tc>
        <w:tc>
          <w:tcPr>
            <w:tcW w:w="260" w:type="dxa"/>
            <w:vAlign w:val="bottom"/>
          </w:tcPr>
          <w:p>
            <w:pPr>
              <w:spacing w:after="0"/>
              <w:rPr>
                <w:sz w:val="20"/>
                <w:szCs w:val="20"/>
                <w:color w:val="auto"/>
              </w:rPr>
            </w:pPr>
          </w:p>
        </w:tc>
        <w:tc>
          <w:tcPr>
            <w:tcW w:w="1000" w:type="dxa"/>
            <w:vAlign w:val="bottom"/>
          </w:tcPr>
          <w:p>
            <w:pPr>
              <w:jc w:val="right"/>
              <w:ind w:right="54"/>
              <w:spacing w:after="0"/>
              <w:rPr>
                <w:sz w:val="20"/>
                <w:szCs w:val="20"/>
                <w:color w:val="auto"/>
              </w:rPr>
            </w:pPr>
            <w:r>
              <w:rPr>
                <w:rFonts w:ascii="Arial" w:cs="Arial" w:eastAsia="Arial" w:hAnsi="Arial"/>
                <w:sz w:val="18"/>
                <w:szCs w:val="18"/>
                <w:color w:val="auto"/>
              </w:rPr>
              <w:t>58.9</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57.5</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w:t>
            </w:r>
          </w:p>
        </w:tc>
      </w:tr>
      <w:tr>
        <w:trPr>
          <w:trHeight w:val="249"/>
        </w:trPr>
        <w:tc>
          <w:tcPr>
            <w:tcW w:w="5840" w:type="dxa"/>
            <w:vAlign w:val="bottom"/>
            <w:tcBorders>
              <w:bottom w:val="single" w:sz="8" w:color="CFF0FC"/>
            </w:tcBorders>
            <w:gridSpan w:val="3"/>
            <w:shd w:val="clear" w:color="auto" w:fill="CFF0FC"/>
          </w:tcPr>
          <w:p>
            <w:pPr>
              <w:ind w:left="20"/>
              <w:spacing w:after="0" w:line="249" w:lineRule="exact"/>
              <w:rPr>
                <w:sz w:val="20"/>
                <w:szCs w:val="20"/>
                <w:color w:val="auto"/>
              </w:rPr>
            </w:pPr>
            <w:r>
              <w:rPr>
                <w:rFonts w:ascii="Arial" w:cs="Arial" w:eastAsia="Arial" w:hAnsi="Arial"/>
                <w:sz w:val="18"/>
                <w:szCs w:val="18"/>
                <w:color w:val="auto"/>
              </w:rPr>
              <w:t>Investments measured at NAV</w:t>
            </w:r>
            <w:r>
              <w:rPr>
                <w:rFonts w:ascii="Arial" w:cs="Arial" w:eastAsia="Arial" w:hAnsi="Arial"/>
                <w:sz w:val="24"/>
                <w:szCs w:val="24"/>
                <w:color w:val="auto"/>
                <w:vertAlign w:val="superscript"/>
              </w:rPr>
              <w:t>(a)</w:t>
            </w:r>
          </w:p>
        </w:tc>
        <w:tc>
          <w:tcPr>
            <w:tcW w:w="2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343.3</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spacing w:after="0"/>
              <w:rPr>
                <w:sz w:val="21"/>
                <w:szCs w:val="21"/>
                <w:color w:val="auto"/>
              </w:rPr>
            </w:pPr>
          </w:p>
        </w:tc>
      </w:tr>
      <w:tr>
        <w:trPr>
          <w:trHeight w:val="224"/>
        </w:trPr>
        <w:tc>
          <w:tcPr>
            <w:tcW w:w="5840" w:type="dxa"/>
            <w:vAlign w:val="bottom"/>
            <w:gridSpan w:val="3"/>
          </w:tcPr>
          <w:p>
            <w:pPr>
              <w:ind w:left="20"/>
              <w:spacing w:after="0"/>
              <w:rPr>
                <w:sz w:val="20"/>
                <w:szCs w:val="20"/>
                <w:color w:val="auto"/>
              </w:rPr>
            </w:pPr>
            <w:r>
              <w:rPr>
                <w:rFonts w:ascii="Arial" w:cs="Arial" w:eastAsia="Arial" w:hAnsi="Arial"/>
                <w:sz w:val="18"/>
                <w:szCs w:val="18"/>
                <w:color w:val="auto"/>
              </w:rPr>
              <w:t>Total plan assets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54"/>
              <w:spacing w:after="0"/>
              <w:rPr>
                <w:sz w:val="20"/>
                <w:szCs w:val="20"/>
                <w:color w:val="auto"/>
              </w:rPr>
            </w:pPr>
            <w:r>
              <w:rPr>
                <w:rFonts w:ascii="Arial" w:cs="Arial" w:eastAsia="Arial" w:hAnsi="Arial"/>
                <w:sz w:val="18"/>
                <w:szCs w:val="18"/>
                <w:color w:val="auto"/>
              </w:rPr>
              <w:t>767.4</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124.7</w:t>
            </w:r>
          </w:p>
        </w:tc>
        <w:tc>
          <w:tcPr>
            <w:tcW w:w="34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272.8</w:t>
            </w:r>
          </w:p>
        </w:tc>
        <w:tc>
          <w:tcPr>
            <w:tcW w:w="20" w:type="dxa"/>
            <w:vAlign w:val="bottom"/>
          </w:tcPr>
          <w:p>
            <w:pPr>
              <w:spacing w:after="0"/>
              <w:rPr>
                <w:sz w:val="19"/>
                <w:szCs w:val="19"/>
                <w:color w:val="auto"/>
              </w:rPr>
            </w:pPr>
          </w:p>
        </w:tc>
        <w:tc>
          <w:tcPr>
            <w:tcW w:w="38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4509135</wp:posOffset>
            </wp:positionH>
            <wp:positionV relativeFrom="paragraph">
              <wp:posOffset>-1798320</wp:posOffset>
            </wp:positionV>
            <wp:extent cx="93980" cy="18859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5382260</wp:posOffset>
            </wp:positionH>
            <wp:positionV relativeFrom="paragraph">
              <wp:posOffset>-1798320</wp:posOffset>
            </wp:positionV>
            <wp:extent cx="85725" cy="18859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6247130</wp:posOffset>
            </wp:positionH>
            <wp:positionV relativeFrom="paragraph">
              <wp:posOffset>-1798320</wp:posOffset>
            </wp:positionV>
            <wp:extent cx="85725" cy="18859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3703955</wp:posOffset>
            </wp:positionH>
            <wp:positionV relativeFrom="paragraph">
              <wp:posOffset>-154305</wp:posOffset>
            </wp:positionV>
            <wp:extent cx="3433445" cy="18859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433445" cy="188595"/>
                    </a:xfrm>
                    <a:prstGeom prst="rect">
                      <a:avLst/>
                    </a:prstGeom>
                    <a:noFill/>
                  </pic:spPr>
                </pic:pic>
              </a:graphicData>
            </a:graphic>
          </wp:anchor>
        </w:drawing>
      </w:r>
    </w:p>
    <w:p>
      <w:pPr>
        <w:spacing w:after="0" w:line="14" w:lineRule="exact"/>
        <w:rPr>
          <w:sz w:val="20"/>
          <w:szCs w:val="20"/>
          <w:color w:val="auto"/>
        </w:rPr>
      </w:pPr>
    </w:p>
    <w:p>
      <w:pPr>
        <w:ind w:left="380" w:hanging="372"/>
        <w:spacing w:after="0"/>
        <w:tabs>
          <w:tab w:leader="none" w:pos="3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Certain investments that are measured at fair value using the NAV per share (or its equivalent) practical expedient have not been categorized in the fair value hierarchy.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3703955</wp:posOffset>
            </wp:positionH>
            <wp:positionV relativeFrom="paragraph">
              <wp:posOffset>-98425</wp:posOffset>
            </wp:positionV>
            <wp:extent cx="343344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433445" cy="8255"/>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presents the activity of our assets measured at fair value on a recurring basis using significant unobservable inputs (Level 3):</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24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w w:val="97"/>
              </w:rPr>
              <w:t>Private Equities</w:t>
            </w: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w w:val="98"/>
              </w:rPr>
              <w:t>Fixed income</w:t>
            </w: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Total Level 3</w:t>
            </w:r>
          </w:p>
        </w:tc>
        <w:tc>
          <w:tcPr>
            <w:tcW w:w="0" w:type="dxa"/>
            <w:vAlign w:val="bottom"/>
          </w:tcPr>
          <w:p>
            <w:pPr>
              <w:spacing w:after="0"/>
              <w:rPr>
                <w:sz w:val="1"/>
                <w:szCs w:val="1"/>
                <w:color w:val="auto"/>
              </w:rPr>
            </w:pPr>
          </w:p>
        </w:tc>
      </w:tr>
      <w:tr>
        <w:trPr>
          <w:trHeight w:val="236"/>
        </w:trPr>
        <w:tc>
          <w:tcPr>
            <w:tcW w:w="3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December 31, 2020</w:t>
            </w:r>
          </w:p>
        </w:tc>
        <w:tc>
          <w:tcPr>
            <w:tcW w:w="24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36.9</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8.4</w:t>
            </w: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36"/>
        </w:trPr>
        <w:tc>
          <w:tcPr>
            <w:tcW w:w="3880" w:type="dxa"/>
            <w:vAlign w:val="bottom"/>
          </w:tcPr>
          <w:p>
            <w:pPr>
              <w:ind w:left="200"/>
              <w:spacing w:after="0"/>
              <w:rPr>
                <w:sz w:val="20"/>
                <w:szCs w:val="20"/>
                <w:color w:val="auto"/>
              </w:rPr>
            </w:pPr>
            <w:r>
              <w:rPr>
                <w:rFonts w:ascii="Arial" w:cs="Arial" w:eastAsia="Arial" w:hAnsi="Arial"/>
                <w:sz w:val="18"/>
                <w:szCs w:val="18"/>
                <w:color w:val="auto"/>
              </w:rPr>
              <w:t>Purchases</w:t>
            </w:r>
          </w:p>
        </w:tc>
        <w:tc>
          <w:tcPr>
            <w:tcW w:w="2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52"/>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0.8</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9"/>
        </w:trPr>
        <w:tc>
          <w:tcPr>
            <w:tcW w:w="38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Sales</w:t>
            </w:r>
          </w:p>
        </w:tc>
        <w:tc>
          <w:tcPr>
            <w:tcW w:w="24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(24.4 )</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(1.3 )</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(25.7 )</w:t>
            </w:r>
          </w:p>
        </w:tc>
        <w:tc>
          <w:tcPr>
            <w:tcW w:w="0" w:type="dxa"/>
            <w:vAlign w:val="bottom"/>
          </w:tcPr>
          <w:p>
            <w:pPr>
              <w:spacing w:after="0"/>
              <w:rPr>
                <w:sz w:val="1"/>
                <w:szCs w:val="1"/>
                <w:color w:val="auto"/>
              </w:rPr>
            </w:pPr>
          </w:p>
        </w:tc>
      </w:tr>
      <w:tr>
        <w:trPr>
          <w:trHeight w:val="236"/>
        </w:trPr>
        <w:tc>
          <w:tcPr>
            <w:tcW w:w="3880" w:type="dxa"/>
            <w:vAlign w:val="bottom"/>
          </w:tcPr>
          <w:p>
            <w:pPr>
              <w:ind w:left="200"/>
              <w:spacing w:after="0"/>
              <w:rPr>
                <w:sz w:val="20"/>
                <w:szCs w:val="20"/>
                <w:color w:val="auto"/>
              </w:rPr>
            </w:pPr>
            <w:r>
              <w:rPr>
                <w:rFonts w:ascii="Arial" w:cs="Arial" w:eastAsia="Arial" w:hAnsi="Arial"/>
                <w:sz w:val="18"/>
                <w:szCs w:val="18"/>
                <w:color w:val="auto"/>
              </w:rPr>
              <w:t>Unrealized losses</w:t>
            </w:r>
          </w:p>
        </w:tc>
        <w:tc>
          <w:tcPr>
            <w:tcW w:w="2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2"/>
        </w:trPr>
        <w:tc>
          <w:tcPr>
            <w:tcW w:w="3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December 31, 2021</w:t>
            </w:r>
          </w:p>
        </w:tc>
        <w:tc>
          <w:tcPr>
            <w:tcW w:w="2640" w:type="dxa"/>
            <w:vAlign w:val="bottom"/>
            <w:gridSpan w:val="2"/>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18.6</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8.0</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36"/>
        </w:trPr>
        <w:tc>
          <w:tcPr>
            <w:tcW w:w="3880" w:type="dxa"/>
            <w:vAlign w:val="bottom"/>
          </w:tcPr>
          <w:p>
            <w:pPr>
              <w:ind w:left="200"/>
              <w:spacing w:after="0"/>
              <w:rPr>
                <w:sz w:val="20"/>
                <w:szCs w:val="20"/>
                <w:color w:val="auto"/>
              </w:rPr>
            </w:pPr>
            <w:r>
              <w:rPr>
                <w:rFonts w:ascii="Arial" w:cs="Arial" w:eastAsia="Arial" w:hAnsi="Arial"/>
                <w:sz w:val="18"/>
                <w:szCs w:val="18"/>
                <w:color w:val="auto"/>
              </w:rPr>
              <w:t>Sales</w:t>
            </w:r>
          </w:p>
        </w:tc>
        <w:tc>
          <w:tcPr>
            <w:tcW w:w="2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(0.8 )</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(1.5 )</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43"/>
        </w:trPr>
        <w:tc>
          <w:tcPr>
            <w:tcW w:w="38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Unrealized gain</w:t>
            </w:r>
          </w:p>
        </w:tc>
        <w:tc>
          <w:tcPr>
            <w:tcW w:w="24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1.3</w:t>
            </w:r>
          </w:p>
        </w:tc>
        <w:tc>
          <w:tcPr>
            <w:tcW w:w="1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1.7</w:t>
            </w: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6"/>
        </w:trPr>
        <w:tc>
          <w:tcPr>
            <w:tcW w:w="3880" w:type="dxa"/>
            <w:vAlign w:val="bottom"/>
          </w:tcPr>
          <w:p>
            <w:pPr>
              <w:ind w:left="20"/>
              <w:spacing w:after="0"/>
              <w:rPr>
                <w:sz w:val="20"/>
                <w:szCs w:val="20"/>
                <w:color w:val="auto"/>
              </w:rPr>
            </w:pPr>
            <w:r>
              <w:rPr>
                <w:rFonts w:ascii="Arial" w:cs="Arial" w:eastAsia="Arial" w:hAnsi="Arial"/>
                <w:sz w:val="18"/>
                <w:szCs w:val="18"/>
                <w:color w:val="auto"/>
              </w:rPr>
              <w:t>Balance at December 31, 2022</w:t>
            </w:r>
          </w:p>
        </w:tc>
        <w:tc>
          <w:tcPr>
            <w:tcW w:w="27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2"/>
              <w:spacing w:after="0"/>
              <w:rPr>
                <w:sz w:val="20"/>
                <w:szCs w:val="20"/>
                <w:color w:val="auto"/>
              </w:rPr>
            </w:pPr>
            <w:r>
              <w:rPr>
                <w:rFonts w:ascii="Arial" w:cs="Arial" w:eastAsia="Arial" w:hAnsi="Arial"/>
                <w:sz w:val="18"/>
                <w:szCs w:val="18"/>
                <w:color w:val="auto"/>
              </w:rPr>
              <w:t>19.1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8.2</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480" w:type="dxa"/>
            <w:vAlign w:val="bottom"/>
            <w:vMerge w:val="restart"/>
          </w:tcPr>
          <w:p>
            <w:pPr>
              <w:jc w:val="right"/>
              <w:ind w:right="550"/>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0"/>
        </w:trPr>
        <w:tc>
          <w:tcPr>
            <w:tcW w:w="388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80" w:type="dxa"/>
            <w:vAlign w:val="bottom"/>
            <w:tcBorders>
              <w:bottom w:val="single" w:sz="8" w:color="9A9A9A"/>
            </w:tcBorders>
          </w:tcPr>
          <w:p>
            <w:pPr>
              <w:spacing w:after="0"/>
              <w:rPr>
                <w:sz w:val="9"/>
                <w:szCs w:val="9"/>
                <w:color w:val="auto"/>
              </w:rPr>
            </w:pPr>
          </w:p>
        </w:tc>
        <w:tc>
          <w:tcPr>
            <w:tcW w:w="24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5090795</wp:posOffset>
            </wp:positionH>
            <wp:positionV relativeFrom="paragraph">
              <wp:posOffset>-821055</wp:posOffset>
            </wp:positionV>
            <wp:extent cx="102870" cy="18859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02870" cy="188595"/>
                    </a:xfrm>
                    <a:prstGeom prst="rect">
                      <a:avLst/>
                    </a:prstGeom>
                    <a:noFill/>
                  </pic:spPr>
                </pic:pic>
              </a:graphicData>
            </a:graphic>
          </wp:anchor>
        </w:drawing>
        <w:drawing>
          <wp:anchor simplePos="0" relativeHeight="251657728" behindDoc="1" locked="0" layoutInCell="0" allowOverlap="1">
            <wp:simplePos x="0" y="0"/>
            <wp:positionH relativeFrom="column">
              <wp:posOffset>6118860</wp:posOffset>
            </wp:positionH>
            <wp:positionV relativeFrom="paragraph">
              <wp:posOffset>-821055</wp:posOffset>
            </wp:positionV>
            <wp:extent cx="93980" cy="18859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The following table sets forth a summary of the assets for which a reported NAV is used to estimate the fair value as of December 31, 2022:</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86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w w:val="99"/>
              </w:rPr>
              <w:t>Fair value estimated using Net Asset Value per Share</w:t>
            </w:r>
          </w:p>
        </w:tc>
        <w:tc>
          <w:tcPr>
            <w:tcW w:w="1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3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ind w:left="440"/>
              <w:spacing w:after="0" w:line="133" w:lineRule="exact"/>
              <w:rPr>
                <w:sz w:val="20"/>
                <w:szCs w:val="20"/>
                <w:color w:val="auto"/>
              </w:rPr>
            </w:pPr>
            <w:r>
              <w:rPr>
                <w:rFonts w:ascii="Arial" w:cs="Arial" w:eastAsia="Arial" w:hAnsi="Arial"/>
                <w:sz w:val="14"/>
                <w:szCs w:val="14"/>
                <w:b w:val="1"/>
                <w:bCs w:val="1"/>
                <w:color w:val="auto"/>
              </w:rPr>
              <w:t>Unfunded</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60" w:type="dxa"/>
            <w:vAlign w:val="bottom"/>
          </w:tcPr>
          <w:p>
            <w:pPr>
              <w:ind w:left="700"/>
              <w:spacing w:after="0" w:line="133" w:lineRule="exact"/>
              <w:rPr>
                <w:sz w:val="20"/>
                <w:szCs w:val="20"/>
                <w:color w:val="auto"/>
              </w:rPr>
            </w:pPr>
            <w:r>
              <w:rPr>
                <w:rFonts w:ascii="Arial" w:cs="Arial" w:eastAsia="Arial" w:hAnsi="Arial"/>
                <w:sz w:val="14"/>
                <w:szCs w:val="14"/>
                <w:b w:val="1"/>
                <w:bCs w:val="1"/>
                <w:color w:val="auto"/>
              </w:rPr>
              <w:t>Redemption</w:t>
            </w:r>
          </w:p>
        </w:tc>
        <w:tc>
          <w:tcPr>
            <w:tcW w:w="100" w:type="dxa"/>
            <w:vAlign w:val="bottom"/>
          </w:tcPr>
          <w:p>
            <w:pPr>
              <w:spacing w:after="0"/>
              <w:rPr>
                <w:sz w:val="11"/>
                <w:szCs w:val="11"/>
                <w:color w:val="auto"/>
              </w:rPr>
            </w:pPr>
          </w:p>
        </w:tc>
        <w:tc>
          <w:tcPr>
            <w:tcW w:w="16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Redemption Notice</w:t>
            </w:r>
          </w:p>
        </w:tc>
        <w:tc>
          <w:tcPr>
            <w:tcW w:w="0" w:type="dxa"/>
            <w:vAlign w:val="bottom"/>
          </w:tcPr>
          <w:p>
            <w:pPr>
              <w:spacing w:after="0"/>
              <w:rPr>
                <w:sz w:val="1"/>
                <w:szCs w:val="1"/>
                <w:color w:val="auto"/>
              </w:rPr>
            </w:pPr>
          </w:p>
        </w:tc>
      </w:tr>
      <w:tr>
        <w:trPr>
          <w:trHeight w:val="185"/>
        </w:trPr>
        <w:tc>
          <w:tcPr>
            <w:tcW w:w="3920" w:type="dxa"/>
            <w:vAlign w:val="bottom"/>
            <w:gridSpan w:val="2"/>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ind w:left="300"/>
              <w:spacing w:after="0"/>
              <w:rPr>
                <w:sz w:val="20"/>
                <w:szCs w:val="20"/>
                <w:color w:val="auto"/>
              </w:rPr>
            </w:pPr>
            <w:r>
              <w:rPr>
                <w:rFonts w:ascii="Arial" w:cs="Arial" w:eastAsia="Arial" w:hAnsi="Arial"/>
                <w:sz w:val="14"/>
                <w:szCs w:val="14"/>
                <w:b w:val="1"/>
                <w:bCs w:val="1"/>
                <w:color w:val="auto"/>
                <w:w w:val="94"/>
              </w:rPr>
              <w:t>Commitments</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tcPr>
          <w:p>
            <w:pPr>
              <w:ind w:left="740"/>
              <w:spacing w:after="0"/>
              <w:rPr>
                <w:sz w:val="20"/>
                <w:szCs w:val="20"/>
                <w:color w:val="auto"/>
              </w:rPr>
            </w:pPr>
            <w:r>
              <w:rPr>
                <w:rFonts w:ascii="Arial" w:cs="Arial" w:eastAsia="Arial" w:hAnsi="Arial"/>
                <w:sz w:val="14"/>
                <w:szCs w:val="14"/>
                <w:b w:val="1"/>
                <w:bCs w:val="1"/>
                <w:color w:val="auto"/>
              </w:rPr>
              <w:t>Frequency</w:t>
            </w:r>
          </w:p>
        </w:tc>
        <w:tc>
          <w:tcPr>
            <w:tcW w:w="10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236"/>
        </w:trPr>
        <w:tc>
          <w:tcPr>
            <w:tcW w:w="3800" w:type="dxa"/>
            <w:vAlign w:val="bottom"/>
            <w:tcBorders>
              <w:top w:val="single" w:sz="8" w:color="auto"/>
            </w:tcBorders>
            <w:shd w:val="clear" w:color="auto" w:fill="CFF0FC"/>
          </w:tcPr>
          <w:p>
            <w:pPr>
              <w:ind w:left="20"/>
              <w:spacing w:after="0" w:line="236" w:lineRule="exact"/>
              <w:rPr>
                <w:sz w:val="20"/>
                <w:szCs w:val="20"/>
                <w:color w:val="auto"/>
              </w:rPr>
            </w:pPr>
            <w:r>
              <w:rPr>
                <w:rFonts w:ascii="Arial" w:cs="Arial" w:eastAsia="Arial" w:hAnsi="Arial"/>
                <w:sz w:val="18"/>
                <w:szCs w:val="18"/>
                <w:color w:val="auto"/>
              </w:rPr>
              <w:t xml:space="preserve">Private equities </w:t>
            </w:r>
            <w:r>
              <w:rPr>
                <w:rFonts w:ascii="Arial" w:cs="Arial" w:eastAsia="Arial" w:hAnsi="Arial"/>
                <w:sz w:val="24"/>
                <w:szCs w:val="24"/>
                <w:color w:val="auto"/>
                <w:vertAlign w:val="superscript"/>
              </w:rPr>
              <w:t>(a)</w:t>
            </w:r>
          </w:p>
        </w:tc>
        <w:tc>
          <w:tcPr>
            <w:tcW w:w="120" w:type="dxa"/>
            <w:vAlign w:val="bottom"/>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jc w:val="right"/>
              <w:ind w:right="896"/>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65.6</w:t>
            </w:r>
          </w:p>
        </w:tc>
        <w:tc>
          <w:tcPr>
            <w:tcW w:w="120" w:type="dxa"/>
            <w:vAlign w:val="bottom"/>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jc w:val="right"/>
              <w:ind w:right="1024"/>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5"/>
              </w:rPr>
              <w:t>4.7</w:t>
            </w:r>
          </w:p>
        </w:tc>
        <w:tc>
          <w:tcPr>
            <w:tcW w:w="120" w:type="dxa"/>
            <w:vAlign w:val="bottom"/>
            <w:shd w:val="clear" w:color="auto" w:fill="CFF0FC"/>
          </w:tcPr>
          <w:p>
            <w:pPr>
              <w:spacing w:after="0"/>
              <w:rPr>
                <w:sz w:val="20"/>
                <w:szCs w:val="20"/>
                <w:color w:val="auto"/>
              </w:rPr>
            </w:pPr>
          </w:p>
        </w:tc>
        <w:tc>
          <w:tcPr>
            <w:tcW w:w="2160" w:type="dxa"/>
            <w:vAlign w:val="bottom"/>
            <w:tcBorders>
              <w:top w:val="single" w:sz="8" w:color="auto"/>
            </w:tcBorders>
            <w:shd w:val="clear" w:color="auto" w:fill="CFF0FC"/>
          </w:tcPr>
          <w:p>
            <w:pPr>
              <w:ind w:left="960"/>
              <w:spacing w:after="0"/>
              <w:rPr>
                <w:sz w:val="20"/>
                <w:szCs w:val="20"/>
                <w:color w:val="auto"/>
              </w:rPr>
            </w:pPr>
            <w:r>
              <w:rPr>
                <w:rFonts w:ascii="Arial" w:cs="Arial" w:eastAsia="Arial" w:hAnsi="Arial"/>
                <w:sz w:val="18"/>
                <w:szCs w:val="18"/>
                <w:color w:val="auto"/>
                <w:w w:val="86"/>
              </w:rPr>
              <w:t>Redemptions not</w:t>
            </w:r>
          </w:p>
        </w:tc>
        <w:tc>
          <w:tcPr>
            <w:tcW w:w="100" w:type="dxa"/>
            <w:vAlign w:val="bottom"/>
            <w:shd w:val="clear" w:color="auto" w:fill="CFF0FC"/>
          </w:tcPr>
          <w:p>
            <w:pPr>
              <w:spacing w:after="0"/>
              <w:rPr>
                <w:sz w:val="20"/>
                <w:szCs w:val="20"/>
                <w:color w:val="auto"/>
              </w:rPr>
            </w:pPr>
          </w:p>
        </w:tc>
        <w:tc>
          <w:tcPr>
            <w:tcW w:w="16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permitted</w:t>
            </w:r>
          </w:p>
        </w:tc>
        <w:tc>
          <w:tcPr>
            <w:tcW w:w="0" w:type="dxa"/>
            <w:vAlign w:val="bottom"/>
          </w:tcPr>
          <w:p>
            <w:pPr>
              <w:spacing w:after="0"/>
              <w:rPr>
                <w:sz w:val="1"/>
                <w:szCs w:val="1"/>
                <w:color w:val="auto"/>
              </w:rPr>
            </w:pPr>
          </w:p>
        </w:tc>
      </w:tr>
      <w:tr>
        <w:trPr>
          <w:trHeight w:val="243"/>
        </w:trPr>
        <w:tc>
          <w:tcPr>
            <w:tcW w:w="3920" w:type="dxa"/>
            <w:vAlign w:val="bottom"/>
            <w:gridSpan w:val="2"/>
          </w:tcPr>
          <w:p>
            <w:pPr>
              <w:ind w:left="20"/>
              <w:spacing w:after="0" w:line="243" w:lineRule="exact"/>
              <w:rPr>
                <w:sz w:val="20"/>
                <w:szCs w:val="20"/>
                <w:color w:val="auto"/>
              </w:rPr>
            </w:pPr>
            <w:r>
              <w:rPr>
                <w:rFonts w:ascii="Arial" w:cs="Arial" w:eastAsia="Arial" w:hAnsi="Arial"/>
                <w:sz w:val="18"/>
                <w:szCs w:val="18"/>
                <w:color w:val="auto"/>
              </w:rPr>
              <w:t xml:space="preserve">Fixed income </w:t>
            </w:r>
            <w:r>
              <w:rPr>
                <w:rFonts w:ascii="Arial" w:cs="Arial" w:eastAsia="Arial" w:hAnsi="Arial"/>
                <w:sz w:val="24"/>
                <w:szCs w:val="24"/>
                <w:color w:val="auto"/>
                <w:vertAlign w:val="superscript"/>
              </w:rPr>
              <w:t>(b)</w:t>
            </w:r>
          </w:p>
        </w:tc>
        <w:tc>
          <w:tcPr>
            <w:tcW w:w="108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880" w:type="dxa"/>
            <w:vAlign w:val="bottom"/>
            <w:gridSpan w:val="3"/>
          </w:tcPr>
          <w:p>
            <w:pPr>
              <w:ind w:left="960"/>
              <w:spacing w:after="0"/>
              <w:rPr>
                <w:sz w:val="20"/>
                <w:szCs w:val="20"/>
                <w:color w:val="auto"/>
              </w:rPr>
            </w:pPr>
            <w:r>
              <w:rPr>
                <w:rFonts w:ascii="Arial" w:cs="Arial" w:eastAsia="Arial" w:hAnsi="Arial"/>
                <w:sz w:val="18"/>
                <w:szCs w:val="18"/>
                <w:color w:val="auto"/>
              </w:rPr>
              <w:t>Redemptions not permitted</w:t>
            </w:r>
          </w:p>
        </w:tc>
        <w:tc>
          <w:tcPr>
            <w:tcW w:w="0" w:type="dxa"/>
            <w:vAlign w:val="bottom"/>
          </w:tcPr>
          <w:p>
            <w:pPr>
              <w:spacing w:after="0"/>
              <w:rPr>
                <w:sz w:val="1"/>
                <w:szCs w:val="1"/>
                <w:color w:val="auto"/>
              </w:rPr>
            </w:pPr>
          </w:p>
        </w:tc>
      </w:tr>
      <w:tr>
        <w:trPr>
          <w:trHeight w:val="243"/>
        </w:trPr>
        <w:tc>
          <w:tcPr>
            <w:tcW w:w="3920" w:type="dxa"/>
            <w:vAlign w:val="bottom"/>
            <w:gridSpan w:val="2"/>
            <w:shd w:val="clear" w:color="auto" w:fill="CFF0FC"/>
          </w:tcPr>
          <w:p>
            <w:pPr>
              <w:ind w:left="20"/>
              <w:spacing w:after="0" w:line="243" w:lineRule="exact"/>
              <w:rPr>
                <w:sz w:val="20"/>
                <w:szCs w:val="20"/>
                <w:color w:val="auto"/>
              </w:rPr>
            </w:pPr>
            <w:r>
              <w:rPr>
                <w:rFonts w:ascii="Arial" w:cs="Arial" w:eastAsia="Arial" w:hAnsi="Arial"/>
                <w:sz w:val="18"/>
                <w:szCs w:val="18"/>
                <w:color w:val="auto"/>
              </w:rPr>
              <w:t xml:space="preserve">Equities </w:t>
            </w:r>
            <w:r>
              <w:rPr>
                <w:rFonts w:ascii="Arial" w:cs="Arial" w:eastAsia="Arial" w:hAnsi="Arial"/>
                <w:sz w:val="24"/>
                <w:szCs w:val="24"/>
                <w:color w:val="auto"/>
                <w:vertAlign w:val="superscript"/>
              </w:rPr>
              <w:t>(c)</w:t>
            </w:r>
          </w:p>
        </w:tc>
        <w:tc>
          <w:tcPr>
            <w:tcW w:w="108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88"/>
              </w:rPr>
              <w:t>114.0</w:t>
            </w:r>
          </w:p>
        </w:tc>
        <w:tc>
          <w:tcPr>
            <w:tcW w:w="12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3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2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Daily, Monthly, Quarterly</w:t>
            </w:r>
          </w:p>
        </w:tc>
        <w:tc>
          <w:tcPr>
            <w:tcW w:w="100" w:type="dxa"/>
            <w:vAlign w:val="bottom"/>
            <w:shd w:val="clear" w:color="auto" w:fill="CFF0FC"/>
          </w:tcPr>
          <w:p>
            <w:pPr>
              <w:spacing w:after="0"/>
              <w:rPr>
                <w:sz w:val="21"/>
                <w:szCs w:val="21"/>
                <w:color w:val="auto"/>
              </w:rPr>
            </w:pPr>
          </w:p>
        </w:tc>
        <w:tc>
          <w:tcPr>
            <w:tcW w:w="1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5-60 days</w:t>
            </w:r>
          </w:p>
        </w:tc>
        <w:tc>
          <w:tcPr>
            <w:tcW w:w="0" w:type="dxa"/>
            <w:vAlign w:val="bottom"/>
          </w:tcPr>
          <w:p>
            <w:pPr>
              <w:spacing w:after="0"/>
              <w:rPr>
                <w:sz w:val="1"/>
                <w:szCs w:val="1"/>
                <w:color w:val="auto"/>
              </w:rPr>
            </w:pPr>
          </w:p>
        </w:tc>
      </w:tr>
      <w:tr>
        <w:trPr>
          <w:trHeight w:val="215"/>
        </w:trPr>
        <w:tc>
          <w:tcPr>
            <w:tcW w:w="3920" w:type="dxa"/>
            <w:vAlign w:val="bottom"/>
            <w:gridSpan w:val="2"/>
          </w:tcPr>
          <w:p>
            <w:pPr>
              <w:ind w:left="20"/>
              <w:spacing w:after="0" w:line="214" w:lineRule="exact"/>
              <w:rPr>
                <w:sz w:val="20"/>
                <w:szCs w:val="20"/>
                <w:color w:val="auto"/>
              </w:rPr>
            </w:pPr>
            <w:r>
              <w:rPr>
                <w:rFonts w:ascii="Arial" w:cs="Arial" w:eastAsia="Arial" w:hAnsi="Arial"/>
                <w:sz w:val="18"/>
                <w:szCs w:val="18"/>
                <w:color w:val="auto"/>
              </w:rPr>
              <w:t xml:space="preserve">Absolute return </w:t>
            </w:r>
            <w:r>
              <w:rPr>
                <w:rFonts w:ascii="Arial" w:cs="Arial" w:eastAsia="Arial" w:hAnsi="Arial"/>
                <w:sz w:val="24"/>
                <w:szCs w:val="24"/>
                <w:color w:val="auto"/>
                <w:vertAlign w:val="superscript"/>
              </w:rPr>
              <w:t>(d)</w:t>
            </w:r>
          </w:p>
        </w:tc>
        <w:tc>
          <w:tcPr>
            <w:tcW w:w="1080" w:type="dxa"/>
            <w:vAlign w:val="bottom"/>
          </w:tcPr>
          <w:p>
            <w:pPr>
              <w:spacing w:after="0"/>
              <w:rPr>
                <w:sz w:val="18"/>
                <w:szCs w:val="18"/>
                <w:color w:val="auto"/>
              </w:rPr>
            </w:pPr>
          </w:p>
        </w:tc>
        <w:tc>
          <w:tcPr>
            <w:tcW w:w="540" w:type="dxa"/>
            <w:vAlign w:val="bottom"/>
            <w:vMerge w:val="restart"/>
          </w:tcPr>
          <w:p>
            <w:pPr>
              <w:jc w:val="right"/>
              <w:ind w:right="30"/>
              <w:spacing w:after="0"/>
              <w:rPr>
                <w:sz w:val="20"/>
                <w:szCs w:val="20"/>
                <w:color w:val="auto"/>
              </w:rPr>
            </w:pPr>
            <w:r>
              <w:rPr>
                <w:rFonts w:ascii="Arial" w:cs="Arial" w:eastAsia="Arial" w:hAnsi="Arial"/>
                <w:sz w:val="18"/>
                <w:szCs w:val="18"/>
                <w:color w:val="auto"/>
              </w:rPr>
              <w:t>42.0</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Monthly, Quarterly, Semi-</w:t>
            </w: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Annually</w:t>
            </w:r>
          </w:p>
        </w:tc>
        <w:tc>
          <w:tcPr>
            <w:tcW w:w="100" w:type="dxa"/>
            <w:vAlign w:val="bottom"/>
          </w:tcPr>
          <w:p>
            <w:pPr>
              <w:spacing w:after="0"/>
              <w:rPr>
                <w:sz w:val="20"/>
                <w:szCs w:val="20"/>
                <w:color w:val="auto"/>
              </w:rPr>
            </w:pPr>
          </w:p>
        </w:tc>
        <w:tc>
          <w:tcPr>
            <w:tcW w:w="1620" w:type="dxa"/>
            <w:vAlign w:val="bottom"/>
          </w:tcPr>
          <w:p>
            <w:pPr>
              <w:ind w:left="20"/>
              <w:spacing w:after="0"/>
              <w:rPr>
                <w:sz w:val="20"/>
                <w:szCs w:val="20"/>
                <w:color w:val="auto"/>
              </w:rPr>
            </w:pPr>
            <w:r>
              <w:rPr>
                <w:rFonts w:ascii="Arial" w:cs="Arial" w:eastAsia="Arial" w:hAnsi="Arial"/>
                <w:sz w:val="18"/>
                <w:szCs w:val="18"/>
                <w:color w:val="auto"/>
              </w:rPr>
              <w:t>5-180 days</w:t>
            </w:r>
          </w:p>
        </w:tc>
        <w:tc>
          <w:tcPr>
            <w:tcW w:w="0" w:type="dxa"/>
            <w:vAlign w:val="bottom"/>
          </w:tcPr>
          <w:p>
            <w:pPr>
              <w:spacing w:after="0"/>
              <w:rPr>
                <w:sz w:val="1"/>
                <w:szCs w:val="1"/>
                <w:color w:val="auto"/>
              </w:rPr>
            </w:pPr>
          </w:p>
        </w:tc>
      </w:tr>
      <w:tr>
        <w:trPr>
          <w:trHeight w:val="224"/>
        </w:trPr>
        <w:tc>
          <w:tcPr>
            <w:tcW w:w="392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080" w:type="dxa"/>
            <w:vAlign w:val="bottom"/>
          </w:tcPr>
          <w:p>
            <w:pPr>
              <w:jc w:val="right"/>
              <w:ind w:right="896"/>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245.2</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97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4" w:lineRule="exact"/>
        <w:rPr>
          <w:sz w:val="20"/>
          <w:szCs w:val="20"/>
          <w:color w:val="auto"/>
        </w:rPr>
      </w:pPr>
    </w:p>
    <w:p>
      <w:pPr>
        <w:ind w:left="380" w:hanging="372"/>
        <w:spacing w:after="0"/>
        <w:tabs>
          <w:tab w:leader="none" w:pos="3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Consists of private equity investments in pharmaceuticals and companies primarily in the technology and healthcare sectors.</w:t>
      </w:r>
    </w:p>
    <w:p>
      <w:pPr>
        <w:ind w:left="380" w:hanging="372"/>
        <w:spacing w:after="0" w:line="267" w:lineRule="auto"/>
        <w:tabs>
          <w:tab w:leader="none" w:pos="3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Consists of investment in debt securities, secured and unsecured, including collateralized loan obligations of global companies, primarily across the U.S. and Europe. While certain fixed income investments allow redemptions, others do not.</w:t>
      </w:r>
    </w:p>
    <w:p>
      <w:pPr>
        <w:ind w:left="380" w:hanging="372"/>
        <w:spacing w:after="0" w:line="228" w:lineRule="auto"/>
        <w:tabs>
          <w:tab w:leader="none" w:pos="3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Consists of public equity investments in U.S. and non-U.S. markets.</w:t>
      </w:r>
    </w:p>
    <w:p>
      <w:pPr>
        <w:ind w:left="380" w:right="20" w:hanging="372"/>
        <w:spacing w:after="0" w:line="237" w:lineRule="auto"/>
        <w:tabs>
          <w:tab w:leader="none" w:pos="3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Consists of investments in publicly traded securities including long and short positions in equities and exchange traded funds, equity index options, corporate and convertible debt securities and other derivatives on equities, commodities and interest rates.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 summary of the assets for which a reported NAV is used to estimate the fair value as of December 31, 2021: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86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w w:val="99"/>
              </w:rPr>
              <w:t>Fair value estimated using Net Asset Value per Share</w:t>
            </w:r>
          </w:p>
        </w:tc>
        <w:tc>
          <w:tcPr>
            <w:tcW w:w="1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3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ind w:left="440"/>
              <w:spacing w:after="0" w:line="133" w:lineRule="exact"/>
              <w:rPr>
                <w:sz w:val="20"/>
                <w:szCs w:val="20"/>
                <w:color w:val="auto"/>
              </w:rPr>
            </w:pPr>
            <w:r>
              <w:rPr>
                <w:rFonts w:ascii="Arial" w:cs="Arial" w:eastAsia="Arial" w:hAnsi="Arial"/>
                <w:sz w:val="14"/>
                <w:szCs w:val="14"/>
                <w:b w:val="1"/>
                <w:bCs w:val="1"/>
                <w:color w:val="auto"/>
              </w:rPr>
              <w:t>Unfunded</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60" w:type="dxa"/>
            <w:vAlign w:val="bottom"/>
          </w:tcPr>
          <w:p>
            <w:pPr>
              <w:jc w:val="right"/>
              <w:ind w:right="616"/>
              <w:spacing w:after="0" w:line="133" w:lineRule="exact"/>
              <w:rPr>
                <w:sz w:val="20"/>
                <w:szCs w:val="20"/>
                <w:color w:val="auto"/>
              </w:rPr>
            </w:pPr>
            <w:r>
              <w:rPr>
                <w:rFonts w:ascii="Arial" w:cs="Arial" w:eastAsia="Arial" w:hAnsi="Arial"/>
                <w:sz w:val="14"/>
                <w:szCs w:val="14"/>
                <w:b w:val="1"/>
                <w:bCs w:val="1"/>
                <w:color w:val="auto"/>
              </w:rPr>
              <w:t>Redemption</w:t>
            </w:r>
          </w:p>
        </w:tc>
        <w:tc>
          <w:tcPr>
            <w:tcW w:w="100" w:type="dxa"/>
            <w:vAlign w:val="bottom"/>
          </w:tcPr>
          <w:p>
            <w:pPr>
              <w:spacing w:after="0"/>
              <w:rPr>
                <w:sz w:val="11"/>
                <w:szCs w:val="11"/>
                <w:color w:val="auto"/>
              </w:rPr>
            </w:pPr>
          </w:p>
        </w:tc>
        <w:tc>
          <w:tcPr>
            <w:tcW w:w="16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Redemption Notice</w:t>
            </w:r>
          </w:p>
        </w:tc>
        <w:tc>
          <w:tcPr>
            <w:tcW w:w="0" w:type="dxa"/>
            <w:vAlign w:val="bottom"/>
          </w:tcPr>
          <w:p>
            <w:pPr>
              <w:spacing w:after="0"/>
              <w:rPr>
                <w:sz w:val="1"/>
                <w:szCs w:val="1"/>
                <w:color w:val="auto"/>
              </w:rPr>
            </w:pPr>
          </w:p>
        </w:tc>
      </w:tr>
      <w:tr>
        <w:trPr>
          <w:trHeight w:val="185"/>
        </w:trPr>
        <w:tc>
          <w:tcPr>
            <w:tcW w:w="3920" w:type="dxa"/>
            <w:vAlign w:val="bottom"/>
            <w:gridSpan w:val="2"/>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ind w:left="320"/>
              <w:spacing w:after="0"/>
              <w:rPr>
                <w:sz w:val="20"/>
                <w:szCs w:val="20"/>
                <w:color w:val="auto"/>
              </w:rPr>
            </w:pPr>
            <w:r>
              <w:rPr>
                <w:rFonts w:ascii="Arial" w:cs="Arial" w:eastAsia="Arial" w:hAnsi="Arial"/>
                <w:sz w:val="14"/>
                <w:szCs w:val="14"/>
                <w:b w:val="1"/>
                <w:bCs w:val="1"/>
                <w:color w:val="auto"/>
                <w:w w:val="94"/>
              </w:rPr>
              <w:t>Commitments</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Pr>
          <w:p>
            <w:pPr>
              <w:jc w:val="right"/>
              <w:ind w:right="676"/>
              <w:spacing w:after="0"/>
              <w:rPr>
                <w:sz w:val="20"/>
                <w:szCs w:val="20"/>
                <w:color w:val="auto"/>
              </w:rPr>
            </w:pPr>
            <w:r>
              <w:rPr>
                <w:rFonts w:ascii="Arial" w:cs="Arial" w:eastAsia="Arial" w:hAnsi="Arial"/>
                <w:sz w:val="14"/>
                <w:szCs w:val="14"/>
                <w:b w:val="1"/>
                <w:bCs w:val="1"/>
                <w:color w:val="auto"/>
              </w:rPr>
              <w:t>Frequency</w:t>
            </w:r>
          </w:p>
        </w:tc>
        <w:tc>
          <w:tcPr>
            <w:tcW w:w="100" w:type="dxa"/>
            <w:vAlign w:val="bottom"/>
          </w:tcPr>
          <w:p>
            <w:pPr>
              <w:spacing w:after="0"/>
              <w:rPr>
                <w:sz w:val="16"/>
                <w:szCs w:val="16"/>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236"/>
        </w:trPr>
        <w:tc>
          <w:tcPr>
            <w:tcW w:w="3800" w:type="dxa"/>
            <w:vAlign w:val="bottom"/>
            <w:tcBorders>
              <w:top w:val="single" w:sz="8" w:color="auto"/>
            </w:tcBorders>
            <w:shd w:val="clear" w:color="auto" w:fill="CFF0FC"/>
          </w:tcPr>
          <w:p>
            <w:pPr>
              <w:ind w:left="20"/>
              <w:spacing w:after="0" w:line="236" w:lineRule="exact"/>
              <w:rPr>
                <w:sz w:val="20"/>
                <w:szCs w:val="20"/>
                <w:color w:val="auto"/>
              </w:rPr>
            </w:pPr>
            <w:r>
              <w:rPr>
                <w:rFonts w:ascii="Arial" w:cs="Arial" w:eastAsia="Arial" w:hAnsi="Arial"/>
                <w:sz w:val="18"/>
                <w:szCs w:val="18"/>
                <w:color w:val="auto"/>
              </w:rPr>
              <w:t xml:space="preserve">Private equities </w:t>
            </w:r>
            <w:r>
              <w:rPr>
                <w:rFonts w:ascii="Arial" w:cs="Arial" w:eastAsia="Arial" w:hAnsi="Arial"/>
                <w:sz w:val="24"/>
                <w:szCs w:val="24"/>
                <w:color w:val="auto"/>
                <w:vertAlign w:val="superscript"/>
              </w:rPr>
              <w:t>(a)</w:t>
            </w:r>
          </w:p>
        </w:tc>
        <w:tc>
          <w:tcPr>
            <w:tcW w:w="120" w:type="dxa"/>
            <w:vAlign w:val="bottom"/>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jc w:val="right"/>
              <w:ind w:right="896"/>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88"/>
              </w:rPr>
              <w:t>122.7</w:t>
            </w:r>
          </w:p>
        </w:tc>
        <w:tc>
          <w:tcPr>
            <w:tcW w:w="100" w:type="dxa"/>
            <w:vAlign w:val="bottom"/>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jc w:val="right"/>
              <w:ind w:right="1044"/>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5"/>
              </w:rPr>
              <w:t>7.5</w:t>
            </w:r>
          </w:p>
        </w:tc>
        <w:tc>
          <w:tcPr>
            <w:tcW w:w="100" w:type="dxa"/>
            <w:vAlign w:val="bottom"/>
            <w:shd w:val="clear" w:color="auto" w:fill="CFF0FC"/>
          </w:tcPr>
          <w:p>
            <w:pPr>
              <w:spacing w:after="0"/>
              <w:rPr>
                <w:sz w:val="20"/>
                <w:szCs w:val="20"/>
                <w:color w:val="auto"/>
              </w:rPr>
            </w:pPr>
          </w:p>
        </w:tc>
        <w:tc>
          <w:tcPr>
            <w:tcW w:w="2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Redemptions not</w:t>
            </w:r>
          </w:p>
        </w:tc>
        <w:tc>
          <w:tcPr>
            <w:tcW w:w="100" w:type="dxa"/>
            <w:vAlign w:val="bottom"/>
            <w:shd w:val="clear" w:color="auto" w:fill="CFF0FC"/>
          </w:tcPr>
          <w:p>
            <w:pPr>
              <w:spacing w:after="0"/>
              <w:rPr>
                <w:sz w:val="20"/>
                <w:szCs w:val="20"/>
                <w:color w:val="auto"/>
              </w:rPr>
            </w:pPr>
          </w:p>
        </w:tc>
        <w:tc>
          <w:tcPr>
            <w:tcW w:w="16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permitted</w:t>
            </w:r>
          </w:p>
        </w:tc>
        <w:tc>
          <w:tcPr>
            <w:tcW w:w="0" w:type="dxa"/>
            <w:vAlign w:val="bottom"/>
          </w:tcPr>
          <w:p>
            <w:pPr>
              <w:spacing w:after="0"/>
              <w:rPr>
                <w:sz w:val="1"/>
                <w:szCs w:val="1"/>
                <w:color w:val="auto"/>
              </w:rPr>
            </w:pPr>
          </w:p>
        </w:tc>
      </w:tr>
      <w:tr>
        <w:trPr>
          <w:trHeight w:val="243"/>
        </w:trPr>
        <w:tc>
          <w:tcPr>
            <w:tcW w:w="3920" w:type="dxa"/>
            <w:vAlign w:val="bottom"/>
            <w:gridSpan w:val="2"/>
          </w:tcPr>
          <w:p>
            <w:pPr>
              <w:ind w:left="20"/>
              <w:spacing w:after="0" w:line="243" w:lineRule="exact"/>
              <w:rPr>
                <w:sz w:val="20"/>
                <w:szCs w:val="20"/>
                <w:color w:val="auto"/>
              </w:rPr>
            </w:pPr>
            <w:r>
              <w:rPr>
                <w:rFonts w:ascii="Arial" w:cs="Arial" w:eastAsia="Arial" w:hAnsi="Arial"/>
                <w:sz w:val="18"/>
                <w:szCs w:val="18"/>
                <w:color w:val="auto"/>
              </w:rPr>
              <w:t xml:space="preserve">Fixed income </w:t>
            </w:r>
            <w:r>
              <w:rPr>
                <w:rFonts w:ascii="Arial" w:cs="Arial" w:eastAsia="Arial" w:hAnsi="Arial"/>
                <w:sz w:val="24"/>
                <w:szCs w:val="24"/>
                <w:color w:val="auto"/>
                <w:vertAlign w:val="superscript"/>
              </w:rPr>
              <w:t>(b)</w:t>
            </w:r>
          </w:p>
        </w:tc>
        <w:tc>
          <w:tcPr>
            <w:tcW w:w="108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160" w:type="dxa"/>
            <w:vAlign w:val="bottom"/>
          </w:tcPr>
          <w:p>
            <w:pPr>
              <w:jc w:val="right"/>
              <w:ind w:right="676"/>
              <w:spacing w:after="0"/>
              <w:rPr>
                <w:sz w:val="20"/>
                <w:szCs w:val="20"/>
                <w:color w:val="auto"/>
              </w:rPr>
            </w:pPr>
            <w:r>
              <w:rPr>
                <w:rFonts w:ascii="Arial" w:cs="Arial" w:eastAsia="Arial" w:hAnsi="Arial"/>
                <w:sz w:val="18"/>
                <w:szCs w:val="18"/>
                <w:color w:val="auto"/>
                <w:w w:val="93"/>
              </w:rPr>
              <w:t>Monthly, Quarterly</w:t>
            </w:r>
          </w:p>
        </w:tc>
        <w:tc>
          <w:tcPr>
            <w:tcW w:w="100" w:type="dxa"/>
            <w:vAlign w:val="bottom"/>
          </w:tcPr>
          <w:p>
            <w:pPr>
              <w:spacing w:after="0"/>
              <w:rPr>
                <w:sz w:val="21"/>
                <w:szCs w:val="21"/>
                <w:color w:val="auto"/>
              </w:rPr>
            </w:pPr>
          </w:p>
        </w:tc>
        <w:tc>
          <w:tcPr>
            <w:tcW w:w="1640" w:type="dxa"/>
            <w:vAlign w:val="bottom"/>
          </w:tcPr>
          <w:p>
            <w:pPr>
              <w:ind w:left="20"/>
              <w:spacing w:after="0"/>
              <w:rPr>
                <w:sz w:val="20"/>
                <w:szCs w:val="20"/>
                <w:color w:val="auto"/>
              </w:rPr>
            </w:pPr>
            <w:r>
              <w:rPr>
                <w:rFonts w:ascii="Arial" w:cs="Arial" w:eastAsia="Arial" w:hAnsi="Arial"/>
                <w:sz w:val="18"/>
                <w:szCs w:val="18"/>
                <w:color w:val="auto"/>
              </w:rPr>
              <w:t>35-90 days</w:t>
            </w:r>
          </w:p>
        </w:tc>
        <w:tc>
          <w:tcPr>
            <w:tcW w:w="0" w:type="dxa"/>
            <w:vAlign w:val="bottom"/>
          </w:tcPr>
          <w:p>
            <w:pPr>
              <w:spacing w:after="0"/>
              <w:rPr>
                <w:sz w:val="1"/>
                <w:szCs w:val="1"/>
                <w:color w:val="auto"/>
              </w:rPr>
            </w:pPr>
          </w:p>
        </w:tc>
      </w:tr>
      <w:tr>
        <w:trPr>
          <w:trHeight w:val="243"/>
        </w:trPr>
        <w:tc>
          <w:tcPr>
            <w:tcW w:w="3920" w:type="dxa"/>
            <w:vAlign w:val="bottom"/>
            <w:gridSpan w:val="2"/>
            <w:shd w:val="clear" w:color="auto" w:fill="CFF0FC"/>
          </w:tcPr>
          <w:p>
            <w:pPr>
              <w:ind w:left="20"/>
              <w:spacing w:after="0" w:line="243" w:lineRule="exact"/>
              <w:rPr>
                <w:sz w:val="20"/>
                <w:szCs w:val="20"/>
                <w:color w:val="auto"/>
              </w:rPr>
            </w:pPr>
            <w:r>
              <w:rPr>
                <w:rFonts w:ascii="Arial" w:cs="Arial" w:eastAsia="Arial" w:hAnsi="Arial"/>
                <w:sz w:val="18"/>
                <w:szCs w:val="18"/>
                <w:color w:val="auto"/>
              </w:rPr>
              <w:t xml:space="preserve">Equities </w:t>
            </w:r>
            <w:r>
              <w:rPr>
                <w:rFonts w:ascii="Arial" w:cs="Arial" w:eastAsia="Arial" w:hAnsi="Arial"/>
                <w:sz w:val="24"/>
                <w:szCs w:val="24"/>
                <w:color w:val="auto"/>
                <w:vertAlign w:val="superscript"/>
              </w:rPr>
              <w:t>(c)</w:t>
            </w:r>
          </w:p>
        </w:tc>
        <w:tc>
          <w:tcPr>
            <w:tcW w:w="108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59.0</w:t>
            </w:r>
          </w:p>
        </w:tc>
        <w:tc>
          <w:tcPr>
            <w:tcW w:w="10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3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2160" w:type="dxa"/>
            <w:vAlign w:val="bottom"/>
            <w:shd w:val="clear" w:color="auto" w:fill="CFF0FC"/>
          </w:tcPr>
          <w:p>
            <w:pPr>
              <w:jc w:val="right"/>
              <w:ind w:right="676"/>
              <w:spacing w:after="0"/>
              <w:rPr>
                <w:sz w:val="20"/>
                <w:szCs w:val="20"/>
                <w:color w:val="auto"/>
              </w:rPr>
            </w:pPr>
            <w:r>
              <w:rPr>
                <w:rFonts w:ascii="Arial" w:cs="Arial" w:eastAsia="Arial" w:hAnsi="Arial"/>
                <w:sz w:val="18"/>
                <w:szCs w:val="18"/>
                <w:color w:val="auto"/>
                <w:w w:val="93"/>
              </w:rPr>
              <w:t>Monthly, Quarterly</w:t>
            </w:r>
          </w:p>
        </w:tc>
        <w:tc>
          <w:tcPr>
            <w:tcW w:w="100" w:type="dxa"/>
            <w:vAlign w:val="bottom"/>
            <w:shd w:val="clear" w:color="auto" w:fill="CFF0FC"/>
          </w:tcPr>
          <w:p>
            <w:pPr>
              <w:spacing w:after="0"/>
              <w:rPr>
                <w:sz w:val="21"/>
                <w:szCs w:val="21"/>
                <w:color w:val="auto"/>
              </w:rPr>
            </w:pPr>
          </w:p>
        </w:tc>
        <w:tc>
          <w:tcPr>
            <w:tcW w:w="1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3-60 days</w:t>
            </w:r>
          </w:p>
        </w:tc>
        <w:tc>
          <w:tcPr>
            <w:tcW w:w="0" w:type="dxa"/>
            <w:vAlign w:val="bottom"/>
          </w:tcPr>
          <w:p>
            <w:pPr>
              <w:spacing w:after="0"/>
              <w:rPr>
                <w:sz w:val="1"/>
                <w:szCs w:val="1"/>
                <w:color w:val="auto"/>
              </w:rPr>
            </w:pPr>
          </w:p>
        </w:tc>
      </w:tr>
      <w:tr>
        <w:trPr>
          <w:trHeight w:val="243"/>
        </w:trPr>
        <w:tc>
          <w:tcPr>
            <w:tcW w:w="3920" w:type="dxa"/>
            <w:vAlign w:val="bottom"/>
            <w:gridSpan w:val="2"/>
          </w:tcPr>
          <w:p>
            <w:pPr>
              <w:ind w:left="20"/>
              <w:spacing w:after="0" w:line="243" w:lineRule="exact"/>
              <w:rPr>
                <w:sz w:val="20"/>
                <w:szCs w:val="20"/>
                <w:color w:val="auto"/>
              </w:rPr>
            </w:pPr>
            <w:r>
              <w:rPr>
                <w:rFonts w:ascii="Arial" w:cs="Arial" w:eastAsia="Arial" w:hAnsi="Arial"/>
                <w:sz w:val="18"/>
                <w:szCs w:val="18"/>
                <w:color w:val="auto"/>
              </w:rPr>
              <w:t xml:space="preserve">Absolute return </w:t>
            </w:r>
            <w:r>
              <w:rPr>
                <w:rFonts w:ascii="Arial" w:cs="Arial" w:eastAsia="Arial" w:hAnsi="Arial"/>
                <w:sz w:val="24"/>
                <w:szCs w:val="24"/>
                <w:color w:val="auto"/>
                <w:vertAlign w:val="superscript"/>
              </w:rPr>
              <w:t>(d)</w:t>
            </w:r>
          </w:p>
        </w:tc>
        <w:tc>
          <w:tcPr>
            <w:tcW w:w="108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8"/>
              </w:rPr>
              <w:t>120.1</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160" w:type="dxa"/>
            <w:vAlign w:val="bottom"/>
          </w:tcPr>
          <w:p>
            <w:pPr>
              <w:jc w:val="right"/>
              <w:ind w:right="676"/>
              <w:spacing w:after="0"/>
              <w:rPr>
                <w:sz w:val="20"/>
                <w:szCs w:val="20"/>
                <w:color w:val="auto"/>
              </w:rPr>
            </w:pPr>
            <w:r>
              <w:rPr>
                <w:rFonts w:ascii="Arial" w:cs="Arial" w:eastAsia="Arial" w:hAnsi="Arial"/>
                <w:sz w:val="18"/>
                <w:szCs w:val="18"/>
                <w:color w:val="auto"/>
                <w:w w:val="93"/>
              </w:rPr>
              <w:t>Monthly, Quarterly</w:t>
            </w:r>
          </w:p>
        </w:tc>
        <w:tc>
          <w:tcPr>
            <w:tcW w:w="100" w:type="dxa"/>
            <w:vAlign w:val="bottom"/>
          </w:tcPr>
          <w:p>
            <w:pPr>
              <w:spacing w:after="0"/>
              <w:rPr>
                <w:sz w:val="21"/>
                <w:szCs w:val="21"/>
                <w:color w:val="auto"/>
              </w:rPr>
            </w:pPr>
          </w:p>
        </w:tc>
        <w:tc>
          <w:tcPr>
            <w:tcW w:w="1640" w:type="dxa"/>
            <w:vAlign w:val="bottom"/>
          </w:tcPr>
          <w:p>
            <w:pPr>
              <w:ind w:left="20"/>
              <w:spacing w:after="0"/>
              <w:rPr>
                <w:sz w:val="20"/>
                <w:szCs w:val="20"/>
                <w:color w:val="auto"/>
              </w:rPr>
            </w:pPr>
            <w:r>
              <w:rPr>
                <w:rFonts w:ascii="Arial" w:cs="Arial" w:eastAsia="Arial" w:hAnsi="Arial"/>
                <w:sz w:val="18"/>
                <w:szCs w:val="18"/>
                <w:color w:val="auto"/>
              </w:rPr>
              <w:t>5-90 days</w:t>
            </w:r>
          </w:p>
        </w:tc>
        <w:tc>
          <w:tcPr>
            <w:tcW w:w="0" w:type="dxa"/>
            <w:vAlign w:val="bottom"/>
          </w:tcPr>
          <w:p>
            <w:pPr>
              <w:spacing w:after="0"/>
              <w:rPr>
                <w:sz w:val="1"/>
                <w:szCs w:val="1"/>
                <w:color w:val="auto"/>
              </w:rPr>
            </w:pPr>
          </w:p>
        </w:tc>
      </w:tr>
      <w:tr>
        <w:trPr>
          <w:trHeight w:val="224"/>
        </w:trPr>
        <w:tc>
          <w:tcPr>
            <w:tcW w:w="392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080" w:type="dxa"/>
            <w:vAlign w:val="bottom"/>
          </w:tcPr>
          <w:p>
            <w:pPr>
              <w:jc w:val="right"/>
              <w:ind w:right="896"/>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343.3</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970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4" w:lineRule="exact"/>
        <w:rPr>
          <w:sz w:val="20"/>
          <w:szCs w:val="20"/>
          <w:color w:val="auto"/>
        </w:rPr>
      </w:pPr>
    </w:p>
    <w:p>
      <w:pPr>
        <w:ind w:left="380" w:hanging="372"/>
        <w:spacing w:after="0"/>
        <w:tabs>
          <w:tab w:leader="none" w:pos="3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Consists of private equity investments in pharmaceuticals and companies primarily in the technology and healthcare sectors.</w:t>
      </w:r>
    </w:p>
    <w:p>
      <w:pPr>
        <w:ind w:left="380" w:hanging="372"/>
        <w:spacing w:after="0" w:line="221" w:lineRule="auto"/>
        <w:tabs>
          <w:tab w:leader="none" w:pos="3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Primarily consists of investments in royalty payments from marketers of pharmaceuticals and related debt securities.</w:t>
      </w:r>
    </w:p>
    <w:p>
      <w:pPr>
        <w:ind w:left="380" w:hanging="372"/>
        <w:spacing w:after="0" w:line="221" w:lineRule="auto"/>
        <w:tabs>
          <w:tab w:leader="none" w:pos="3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Consists of public equity investments in U.S. and non-U.S. markets.</w:t>
      </w:r>
    </w:p>
    <w:p>
      <w:pPr>
        <w:ind w:left="380" w:hanging="372"/>
        <w:spacing w:after="0"/>
        <w:tabs>
          <w:tab w:leader="none" w:pos="3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Consists of investments in global markets, including derivative securities of equity and fixed income indexes, commodities and interest rates.</w:t>
      </w:r>
    </w:p>
    <w:p>
      <w:pPr>
        <w:spacing w:after="0" w:line="16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Historically, the investment strategy for private equities has consisted of direct investments or investments through limited partnerships with managers who purchase interests in non-public companies. In addition, the typical investment strategies of the fixed income and equity funds was based on fundamental and quantitative analysis and consisted of long and hedged strategies. Lastly, the general strategy of the absolute return funds consisted of alternative investment techniques, including derivative instruments and other unconventional assets, to achieve an absolute return rate.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Multi-Employer Plans</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contributes to various separate multi-employer health, welfare and pension plans for employees that are covered by our collective bargaining agreements (approximately 82% of total employees of the Company and its subsidiaries). The collective bargaining agreements determine the amounts of these contributions. The health and welfare plans provide medical-related benefits to active employees and retirees. The pension plans provide retirement benefits to retired participants. We recognize multi-employer pension cost within salaries, wages and employee benefits for the contractually required contributions for the period and recognize as a liability any contributions due and unpaid at period end. We do not directly manage the multi-employer plans to which we contribute. These pension plans' assets and liabilities are not included in our consolidated balance sheets. The trusts covering these plans are generally managed by trustees, half of whom the unions appoint and half of whom various contributing employers appoint.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We expensed the following amounts related to these plans for the years ended December 31: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29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r>
      <w:tr>
        <w:trPr>
          <w:trHeight w:val="236"/>
        </w:trPr>
        <w:tc>
          <w:tcPr>
            <w:tcW w:w="3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Health and welfare</w:t>
            </w:r>
          </w:p>
        </w:tc>
        <w:tc>
          <w:tcPr>
            <w:tcW w:w="29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490.0</w:t>
            </w:r>
          </w:p>
        </w:tc>
        <w:tc>
          <w:tcPr>
            <w:tcW w:w="16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485.2</w:t>
            </w: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488.7</w:t>
            </w:r>
          </w:p>
        </w:tc>
      </w:tr>
      <w:tr>
        <w:trPr>
          <w:trHeight w:val="236"/>
        </w:trPr>
        <w:tc>
          <w:tcPr>
            <w:tcW w:w="3460" w:type="dxa"/>
            <w:vAlign w:val="bottom"/>
          </w:tcPr>
          <w:p>
            <w:pPr>
              <w:ind w:left="20"/>
              <w:spacing w:after="0"/>
              <w:rPr>
                <w:sz w:val="20"/>
                <w:szCs w:val="20"/>
                <w:color w:val="auto"/>
              </w:rPr>
            </w:pPr>
            <w:r>
              <w:rPr>
                <w:rFonts w:ascii="Arial" w:cs="Arial" w:eastAsia="Arial" w:hAnsi="Arial"/>
                <w:sz w:val="18"/>
                <w:szCs w:val="18"/>
                <w:color w:val="auto"/>
              </w:rPr>
              <w:t>Pension</w:t>
            </w:r>
          </w:p>
        </w:tc>
        <w:tc>
          <w:tcPr>
            <w:tcW w:w="2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111.1</w:t>
            </w: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114.5</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123.6</w:t>
            </w:r>
          </w:p>
        </w:tc>
      </w:tr>
      <w:tr>
        <w:trPr>
          <w:trHeight w:val="276"/>
        </w:trPr>
        <w:tc>
          <w:tcPr>
            <w:tcW w:w="34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3120" w:type="dxa"/>
            <w:vAlign w:val="bottom"/>
            <w:tcBorders>
              <w:bottom w:val="single" w:sz="8" w:color="CFF0FC"/>
            </w:tcBorders>
            <w:gridSpan w:val="2"/>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601.1</w:t>
            </w:r>
          </w:p>
        </w:tc>
        <w:tc>
          <w:tcPr>
            <w:tcW w:w="1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599.7</w:t>
            </w:r>
          </w:p>
        </w:tc>
        <w:tc>
          <w:tcPr>
            <w:tcW w:w="1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612.3</w:t>
            </w:r>
          </w:p>
        </w:tc>
      </w:tr>
      <w:tr>
        <w:trPr>
          <w:trHeight w:val="634"/>
        </w:trPr>
        <w:tc>
          <w:tcPr>
            <w:tcW w:w="3460" w:type="dxa"/>
            <w:vAlign w:val="bottom"/>
          </w:tcPr>
          <w:p>
            <w:pPr>
              <w:spacing w:after="0"/>
              <w:rPr>
                <w:sz w:val="24"/>
                <w:szCs w:val="24"/>
                <w:color w:val="auto"/>
              </w:rPr>
            </w:pPr>
          </w:p>
        </w:tc>
        <w:tc>
          <w:tcPr>
            <w:tcW w:w="2960" w:type="dxa"/>
            <w:vAlign w:val="bottom"/>
          </w:tcPr>
          <w:p>
            <w:pPr>
              <w:jc w:val="right"/>
              <w:ind w:right="610"/>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88"/>
        </w:trPr>
        <w:tc>
          <w:tcPr>
            <w:tcW w:w="3460" w:type="dxa"/>
            <w:vAlign w:val="bottom"/>
            <w:tcBorders>
              <w:bottom w:val="single" w:sz="8" w:color="9A9A9A"/>
            </w:tcBorders>
          </w:tcPr>
          <w:p>
            <w:pPr>
              <w:spacing w:after="0"/>
              <w:rPr>
                <w:sz w:val="7"/>
                <w:szCs w:val="7"/>
                <w:color w:val="auto"/>
              </w:rPr>
            </w:pPr>
          </w:p>
        </w:tc>
        <w:tc>
          <w:tcPr>
            <w:tcW w:w="29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5116830</wp:posOffset>
            </wp:positionH>
            <wp:positionV relativeFrom="paragraph">
              <wp:posOffset>-504825</wp:posOffset>
            </wp:positionV>
            <wp:extent cx="10287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-487680</wp:posOffset>
            </wp:positionV>
            <wp:extent cx="10287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-504825</wp:posOffset>
            </wp:positionV>
            <wp:extent cx="939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-487680</wp:posOffset>
            </wp:positionV>
            <wp:extent cx="939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The following table provides additional information related to our participation in individually significant multi-employer pension plans: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5"/>
              </w:rPr>
              <w:t>Expiration Date</w:t>
            </w:r>
          </w:p>
        </w:tc>
        <w:tc>
          <w:tcPr>
            <w:tcW w:w="0" w:type="dxa"/>
            <w:vAlign w:val="bottom"/>
          </w:tcPr>
          <w:p>
            <w:pPr>
              <w:spacing w:after="0"/>
              <w:rPr>
                <w:sz w:val="1"/>
                <w:szCs w:val="1"/>
                <w:color w:val="auto"/>
              </w:rPr>
            </w:pPr>
          </w:p>
        </w:tc>
      </w:tr>
      <w:tr>
        <w:trPr>
          <w:trHeight w:val="175"/>
        </w:trPr>
        <w:tc>
          <w:tcPr>
            <w:tcW w:w="2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20" w:type="dxa"/>
            <w:vAlign w:val="bottom"/>
            <w:gridSpan w:val="3"/>
            <w:vMerge w:val="restart"/>
          </w:tcPr>
          <w:p>
            <w:pPr>
              <w:jc w:val="right"/>
              <w:ind w:right="250"/>
              <w:spacing w:after="0"/>
              <w:rPr>
                <w:sz w:val="20"/>
                <w:szCs w:val="20"/>
                <w:color w:val="auto"/>
              </w:rPr>
            </w:pPr>
            <w:r>
              <w:rPr>
                <w:rFonts w:ascii="Arial" w:cs="Arial" w:eastAsia="Arial" w:hAnsi="Arial"/>
                <w:sz w:val="14"/>
                <w:szCs w:val="14"/>
                <w:b w:val="1"/>
                <w:bCs w:val="1"/>
                <w:color w:val="auto"/>
              </w:rPr>
              <w:t>Pension Protection Zone Status</w:t>
            </w:r>
            <w:r>
              <w:rPr>
                <w:rFonts w:ascii="Arial" w:cs="Arial" w:eastAsia="Arial" w:hAnsi="Arial"/>
                <w:sz w:val="19"/>
                <w:szCs w:val="19"/>
                <w:b w:val="1"/>
                <w:bCs w:val="1"/>
                <w:color w:val="auto"/>
                <w:vertAlign w:val="superscript"/>
              </w:rPr>
              <w:t>(b)</w:t>
            </w:r>
          </w:p>
        </w:tc>
        <w:tc>
          <w:tcPr>
            <w:tcW w:w="120" w:type="dxa"/>
            <w:vAlign w:val="bottom"/>
          </w:tcPr>
          <w:p>
            <w:pPr>
              <w:spacing w:after="0"/>
              <w:rPr>
                <w:sz w:val="15"/>
                <w:szCs w:val="15"/>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4"/>
              </w:rPr>
              <w:t>Funding</w:t>
            </w: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3"/>
              </w:rPr>
              <w:t>of Collective-</w:t>
            </w:r>
          </w:p>
        </w:tc>
        <w:tc>
          <w:tcPr>
            <w:tcW w:w="0" w:type="dxa"/>
            <w:vAlign w:val="bottom"/>
          </w:tcPr>
          <w:p>
            <w:pPr>
              <w:spacing w:after="0"/>
              <w:rPr>
                <w:sz w:val="1"/>
                <w:szCs w:val="1"/>
                <w:color w:val="auto"/>
              </w:rPr>
            </w:pPr>
          </w:p>
        </w:tc>
      </w:tr>
      <w:tr>
        <w:trPr>
          <w:trHeight w:val="175"/>
        </w:trPr>
        <w:tc>
          <w:tcPr>
            <w:tcW w:w="2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Pension Fund</w:t>
            </w:r>
            <w:r>
              <w:rPr>
                <w:rFonts w:ascii="Arial" w:cs="Arial" w:eastAsia="Arial" w:hAnsi="Arial"/>
                <w:sz w:val="19"/>
                <w:szCs w:val="19"/>
                <w:b w:val="1"/>
                <w:bCs w:val="1"/>
                <w:color w:val="auto"/>
                <w:vertAlign w:val="superscript"/>
              </w:rPr>
              <w:t>(a)</w:t>
            </w: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2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4"/>
              </w:rPr>
              <w:t>Improvement or</w:t>
            </w:r>
          </w:p>
        </w:tc>
        <w:tc>
          <w:tcPr>
            <w:tcW w:w="120" w:type="dxa"/>
            <w:vAlign w:val="bottom"/>
          </w:tcPr>
          <w:p>
            <w:pPr>
              <w:spacing w:after="0"/>
              <w:rPr>
                <w:sz w:val="15"/>
                <w:szCs w:val="15"/>
                <w:color w:val="auto"/>
              </w:rPr>
            </w:pPr>
          </w:p>
        </w:tc>
        <w:tc>
          <w:tcPr>
            <w:tcW w:w="1500" w:type="dxa"/>
            <w:vAlign w:val="bottom"/>
          </w:tcPr>
          <w:p>
            <w:pPr>
              <w:ind w:left="460"/>
              <w:spacing w:after="0"/>
              <w:rPr>
                <w:sz w:val="20"/>
                <w:szCs w:val="20"/>
                <w:color w:val="auto"/>
              </w:rPr>
            </w:pPr>
            <w:r>
              <w:rPr>
                <w:rFonts w:ascii="Arial" w:cs="Arial" w:eastAsia="Arial" w:hAnsi="Arial"/>
                <w:sz w:val="14"/>
                <w:szCs w:val="14"/>
                <w:b w:val="1"/>
                <w:bCs w:val="1"/>
                <w:color w:val="auto"/>
              </w:rPr>
              <w:t>Employer</w:t>
            </w:r>
          </w:p>
        </w:tc>
        <w:tc>
          <w:tcPr>
            <w:tcW w:w="120" w:type="dxa"/>
            <w:vAlign w:val="bottom"/>
          </w:tcPr>
          <w:p>
            <w:pPr>
              <w:spacing w:after="0"/>
              <w:rPr>
                <w:sz w:val="15"/>
                <w:szCs w:val="15"/>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5"/>
              </w:rPr>
              <w:t>Bargaining</w:t>
            </w:r>
          </w:p>
        </w:tc>
        <w:tc>
          <w:tcPr>
            <w:tcW w:w="0" w:type="dxa"/>
            <w:vAlign w:val="bottom"/>
          </w:tcPr>
          <w:p>
            <w:pPr>
              <w:spacing w:after="0"/>
              <w:rPr>
                <w:sz w:val="1"/>
                <w:szCs w:val="1"/>
                <w:color w:val="auto"/>
              </w:rPr>
            </w:pPr>
          </w:p>
        </w:tc>
      </w:tr>
      <w:tr>
        <w:trPr>
          <w:trHeight w:val="185"/>
        </w:trPr>
        <w:tc>
          <w:tcPr>
            <w:tcW w:w="22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b w:val="1"/>
                <w:bCs w:val="1"/>
                <w:color w:val="auto"/>
              </w:rPr>
              <w:t>EIN Number</w:t>
            </w:r>
          </w:p>
        </w:tc>
        <w:tc>
          <w:tcPr>
            <w:tcW w:w="1440" w:type="dxa"/>
            <w:vAlign w:val="bottom"/>
            <w:gridSpan w:val="2"/>
          </w:tcPr>
          <w:p>
            <w:pPr>
              <w:jc w:val="right"/>
              <w:ind w:right="412"/>
              <w:spacing w:after="0"/>
              <w:rPr>
                <w:sz w:val="20"/>
                <w:szCs w:val="20"/>
                <w:color w:val="auto"/>
              </w:rPr>
            </w:pPr>
            <w:r>
              <w:rPr>
                <w:rFonts w:ascii="Arial" w:cs="Arial" w:eastAsia="Arial" w:hAnsi="Arial"/>
                <w:sz w:val="14"/>
                <w:szCs w:val="14"/>
                <w:b w:val="1"/>
                <w:bCs w:val="1"/>
                <w:color w:val="auto"/>
              </w:rPr>
              <w:t>2022</w:t>
            </w:r>
          </w:p>
        </w:tc>
        <w:tc>
          <w:tcPr>
            <w:tcW w:w="1420" w:type="dxa"/>
            <w:vAlign w:val="bottom"/>
            <w:gridSpan w:val="2"/>
          </w:tcPr>
          <w:p>
            <w:pPr>
              <w:jc w:val="right"/>
              <w:ind w:right="410"/>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5"/>
              </w:rPr>
              <w:t>Rehabilitation Plan</w:t>
            </w:r>
          </w:p>
        </w:tc>
        <w:tc>
          <w:tcPr>
            <w:tcW w:w="120" w:type="dxa"/>
            <w:vAlign w:val="bottom"/>
          </w:tcPr>
          <w:p>
            <w:pPr>
              <w:spacing w:after="0"/>
              <w:rPr>
                <w:sz w:val="16"/>
                <w:szCs w:val="16"/>
                <w:color w:val="auto"/>
              </w:rPr>
            </w:pPr>
          </w:p>
        </w:tc>
        <w:tc>
          <w:tcPr>
            <w:tcW w:w="1500" w:type="dxa"/>
            <w:vAlign w:val="bottom"/>
          </w:tcPr>
          <w:p>
            <w:pPr>
              <w:ind w:left="160"/>
              <w:spacing w:after="0"/>
              <w:rPr>
                <w:sz w:val="20"/>
                <w:szCs w:val="20"/>
                <w:color w:val="auto"/>
              </w:rPr>
            </w:pPr>
            <w:r>
              <w:rPr>
                <w:rFonts w:ascii="Arial" w:cs="Arial" w:eastAsia="Arial" w:hAnsi="Arial"/>
                <w:sz w:val="14"/>
                <w:szCs w:val="14"/>
                <w:b w:val="1"/>
                <w:bCs w:val="1"/>
                <w:color w:val="auto"/>
              </w:rPr>
              <w:t>Surcharge Imposed</w:t>
            </w:r>
          </w:p>
        </w:tc>
        <w:tc>
          <w:tcPr>
            <w:tcW w:w="12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0"/>
              </w:rPr>
              <w:t>Agreement</w:t>
            </w:r>
          </w:p>
        </w:tc>
        <w:tc>
          <w:tcPr>
            <w:tcW w:w="0" w:type="dxa"/>
            <w:vAlign w:val="bottom"/>
          </w:tcPr>
          <w:p>
            <w:pPr>
              <w:spacing w:after="0"/>
              <w:rPr>
                <w:sz w:val="1"/>
                <w:szCs w:val="1"/>
                <w:color w:val="auto"/>
              </w:rPr>
            </w:pPr>
          </w:p>
        </w:tc>
      </w:tr>
      <w:tr>
        <w:trPr>
          <w:trHeight w:val="208"/>
        </w:trPr>
        <w:tc>
          <w:tcPr>
            <w:tcW w:w="224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1"/>
              </w:rPr>
              <w:t>Central States, Southeast and</w:t>
            </w:r>
          </w:p>
        </w:tc>
        <w:tc>
          <w:tcPr>
            <w:tcW w:w="140" w:type="dxa"/>
            <w:vAlign w:val="bottom"/>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0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Southwest Areas Pension</w:t>
            </w: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Critical and</w:t>
            </w: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Critical and</w:t>
            </w:r>
          </w:p>
        </w:tc>
        <w:tc>
          <w:tcPr>
            <w:tcW w:w="12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Fund</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36-6044243</w:t>
            </w:r>
          </w:p>
        </w:tc>
        <w:tc>
          <w:tcPr>
            <w:tcW w:w="1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Declining</w:t>
            </w:r>
          </w:p>
        </w:tc>
        <w:tc>
          <w:tcPr>
            <w:tcW w:w="14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Declining</w:t>
            </w:r>
          </w:p>
        </w:tc>
        <w:tc>
          <w:tcPr>
            <w:tcW w:w="12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Yes</w:t>
            </w:r>
          </w:p>
        </w:tc>
        <w:tc>
          <w:tcPr>
            <w:tcW w:w="120" w:type="dxa"/>
            <w:vAlign w:val="bottom"/>
            <w:shd w:val="clear" w:color="auto" w:fill="CFF0FC"/>
          </w:tcPr>
          <w:p>
            <w:pPr>
              <w:spacing w:after="0"/>
              <w:rPr>
                <w:sz w:val="21"/>
                <w:szCs w:val="21"/>
                <w:color w:val="auto"/>
              </w:rPr>
            </w:pPr>
          </w:p>
        </w:tc>
        <w:tc>
          <w:tcPr>
            <w:tcW w:w="1500" w:type="dxa"/>
            <w:vAlign w:val="bottom"/>
            <w:shd w:val="clear" w:color="auto" w:fill="CFF0FC"/>
          </w:tcPr>
          <w:p>
            <w:pPr>
              <w:ind w:left="1260"/>
              <w:spacing w:after="0"/>
              <w:rPr>
                <w:sz w:val="20"/>
                <w:szCs w:val="20"/>
                <w:color w:val="auto"/>
              </w:rPr>
            </w:pPr>
            <w:r>
              <w:rPr>
                <w:rFonts w:ascii="Arial" w:cs="Arial" w:eastAsia="Arial" w:hAnsi="Arial"/>
                <w:sz w:val="18"/>
                <w:szCs w:val="18"/>
                <w:color w:val="auto"/>
                <w:w w:val="95"/>
              </w:rPr>
              <w:t>No</w:t>
            </w:r>
          </w:p>
        </w:tc>
        <w:tc>
          <w:tcPr>
            <w:tcW w:w="1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3/31/2024</w:t>
            </w:r>
          </w:p>
        </w:tc>
        <w:tc>
          <w:tcPr>
            <w:tcW w:w="0" w:type="dxa"/>
            <w:vAlign w:val="bottom"/>
          </w:tcPr>
          <w:p>
            <w:pPr>
              <w:spacing w:after="0"/>
              <w:rPr>
                <w:sz w:val="1"/>
                <w:szCs w:val="1"/>
                <w:color w:val="auto"/>
              </w:rPr>
            </w:pPr>
          </w:p>
        </w:tc>
      </w:tr>
      <w:tr>
        <w:trPr>
          <w:trHeight w:val="193"/>
        </w:trPr>
        <w:tc>
          <w:tcPr>
            <w:tcW w:w="2240" w:type="dxa"/>
            <w:vAlign w:val="bottom"/>
          </w:tcPr>
          <w:p>
            <w:pPr>
              <w:ind w:left="20"/>
              <w:spacing w:after="0" w:line="193" w:lineRule="exact"/>
              <w:rPr>
                <w:sz w:val="20"/>
                <w:szCs w:val="20"/>
                <w:color w:val="auto"/>
              </w:rPr>
            </w:pPr>
            <w:r>
              <w:rPr>
                <w:rFonts w:ascii="Arial" w:cs="Arial" w:eastAsia="Arial" w:hAnsi="Arial"/>
                <w:sz w:val="18"/>
                <w:szCs w:val="18"/>
                <w:color w:val="auto"/>
              </w:rPr>
              <w:t>Teamsters National 401(k)</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2240" w:type="dxa"/>
            <w:vAlign w:val="bottom"/>
          </w:tcPr>
          <w:p>
            <w:pPr>
              <w:ind w:left="20"/>
              <w:spacing w:after="0" w:line="265" w:lineRule="exact"/>
              <w:rPr>
                <w:sz w:val="20"/>
                <w:szCs w:val="20"/>
                <w:color w:val="auto"/>
              </w:rPr>
            </w:pPr>
            <w:r>
              <w:rPr>
                <w:rFonts w:ascii="Arial" w:cs="Arial" w:eastAsia="Arial" w:hAnsi="Arial"/>
                <w:sz w:val="18"/>
                <w:szCs w:val="18"/>
                <w:color w:val="auto"/>
              </w:rPr>
              <w:t>Savings Plan</w:t>
            </w:r>
            <w:r>
              <w:rPr>
                <w:rFonts w:ascii="Arial" w:cs="Arial" w:eastAsia="Arial" w:hAnsi="Arial"/>
                <w:sz w:val="24"/>
                <w:szCs w:val="24"/>
                <w:color w:val="auto"/>
                <w:vertAlign w:val="superscript"/>
              </w:rPr>
              <w:t>(c)</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52-1967784</w:t>
            </w:r>
          </w:p>
        </w:tc>
        <w:tc>
          <w:tcPr>
            <w:tcW w:w="1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23"/>
                <w:szCs w:val="23"/>
                <w:color w:val="auto"/>
              </w:rPr>
            </w:pPr>
          </w:p>
        </w:tc>
        <w:tc>
          <w:tcPr>
            <w:tcW w:w="1500" w:type="dxa"/>
            <w:vAlign w:val="bottom"/>
          </w:tcPr>
          <w:p>
            <w:pPr>
              <w:ind w:left="1260"/>
              <w:spacing w:after="0"/>
              <w:rPr>
                <w:sz w:val="20"/>
                <w:szCs w:val="20"/>
                <w:color w:val="auto"/>
              </w:rPr>
            </w:pPr>
            <w:r>
              <w:rPr>
                <w:rFonts w:ascii="Arial" w:cs="Arial" w:eastAsia="Arial" w:hAnsi="Arial"/>
                <w:sz w:val="18"/>
                <w:szCs w:val="18"/>
                <w:color w:val="auto"/>
                <w:w w:val="95"/>
              </w:rPr>
              <w:t>No</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3/31/2024</w:t>
            </w:r>
          </w:p>
        </w:tc>
        <w:tc>
          <w:tcPr>
            <w:tcW w:w="0" w:type="dxa"/>
            <w:vAlign w:val="bottom"/>
          </w:tcPr>
          <w:p>
            <w:pPr>
              <w:spacing w:after="0"/>
              <w:rPr>
                <w:sz w:val="1"/>
                <w:szCs w:val="1"/>
                <w:color w:val="auto"/>
              </w:rPr>
            </w:pPr>
          </w:p>
        </w:tc>
      </w:tr>
      <w:tr>
        <w:trPr>
          <w:trHeight w:val="215"/>
        </w:trPr>
        <w:tc>
          <w:tcPr>
            <w:tcW w:w="2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Road Carriers Local 707</w:t>
            </w: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Critical and</w:t>
            </w: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Critical and</w:t>
            </w:r>
          </w:p>
        </w:tc>
        <w:tc>
          <w:tcPr>
            <w:tcW w:w="12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Pension Fund</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51-6106510</w:t>
            </w:r>
          </w:p>
        </w:tc>
        <w:tc>
          <w:tcPr>
            <w:tcW w:w="1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Declining</w:t>
            </w:r>
          </w:p>
        </w:tc>
        <w:tc>
          <w:tcPr>
            <w:tcW w:w="14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Declining</w:t>
            </w:r>
          </w:p>
        </w:tc>
        <w:tc>
          <w:tcPr>
            <w:tcW w:w="12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Yes</w:t>
            </w:r>
          </w:p>
        </w:tc>
        <w:tc>
          <w:tcPr>
            <w:tcW w:w="120" w:type="dxa"/>
            <w:vAlign w:val="bottom"/>
            <w:shd w:val="clear" w:color="auto" w:fill="CFF0FC"/>
          </w:tcPr>
          <w:p>
            <w:pPr>
              <w:spacing w:after="0"/>
              <w:rPr>
                <w:sz w:val="21"/>
                <w:szCs w:val="21"/>
                <w:color w:val="auto"/>
              </w:rPr>
            </w:pPr>
          </w:p>
        </w:tc>
        <w:tc>
          <w:tcPr>
            <w:tcW w:w="1500" w:type="dxa"/>
            <w:vAlign w:val="bottom"/>
            <w:shd w:val="clear" w:color="auto" w:fill="CFF0FC"/>
          </w:tcPr>
          <w:p>
            <w:pPr>
              <w:ind w:left="1260"/>
              <w:spacing w:after="0"/>
              <w:rPr>
                <w:sz w:val="20"/>
                <w:szCs w:val="20"/>
                <w:color w:val="auto"/>
              </w:rPr>
            </w:pPr>
            <w:r>
              <w:rPr>
                <w:rFonts w:ascii="Arial" w:cs="Arial" w:eastAsia="Arial" w:hAnsi="Arial"/>
                <w:sz w:val="18"/>
                <w:szCs w:val="18"/>
                <w:color w:val="auto"/>
                <w:w w:val="95"/>
              </w:rPr>
              <w:t>No</w:t>
            </w:r>
          </w:p>
        </w:tc>
        <w:tc>
          <w:tcPr>
            <w:tcW w:w="1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3/31/2024</w:t>
            </w:r>
          </w:p>
        </w:tc>
        <w:tc>
          <w:tcPr>
            <w:tcW w:w="0" w:type="dxa"/>
            <w:vAlign w:val="bottom"/>
          </w:tcPr>
          <w:p>
            <w:pPr>
              <w:spacing w:after="0"/>
              <w:rPr>
                <w:sz w:val="1"/>
                <w:szCs w:val="1"/>
                <w:color w:val="auto"/>
              </w:rPr>
            </w:pPr>
          </w:p>
        </w:tc>
      </w:tr>
      <w:tr>
        <w:trPr>
          <w:trHeight w:val="215"/>
        </w:trPr>
        <w:tc>
          <w:tcPr>
            <w:tcW w:w="2240" w:type="dxa"/>
            <w:vAlign w:val="bottom"/>
          </w:tcPr>
          <w:p>
            <w:pPr>
              <w:ind w:left="20"/>
              <w:spacing w:after="0"/>
              <w:rPr>
                <w:sz w:val="20"/>
                <w:szCs w:val="20"/>
                <w:color w:val="auto"/>
              </w:rPr>
            </w:pPr>
            <w:r>
              <w:rPr>
                <w:rFonts w:ascii="Arial" w:cs="Arial" w:eastAsia="Arial" w:hAnsi="Arial"/>
                <w:sz w:val="18"/>
                <w:szCs w:val="18"/>
                <w:color w:val="auto"/>
                <w:w w:val="92"/>
              </w:rPr>
              <w:t>Teamsters Local 641 Pension</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Critical and</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Critical and</w:t>
            </w: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40" w:type="dxa"/>
            <w:vAlign w:val="bottom"/>
          </w:tcPr>
          <w:p>
            <w:pPr>
              <w:ind w:left="20"/>
              <w:spacing w:after="0"/>
              <w:rPr>
                <w:sz w:val="20"/>
                <w:szCs w:val="20"/>
                <w:color w:val="auto"/>
              </w:rPr>
            </w:pPr>
            <w:r>
              <w:rPr>
                <w:rFonts w:ascii="Arial" w:cs="Arial" w:eastAsia="Arial" w:hAnsi="Arial"/>
                <w:sz w:val="18"/>
                <w:szCs w:val="18"/>
                <w:color w:val="auto"/>
              </w:rPr>
              <w:t>Fund</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22-6220288</w:t>
            </w: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Declining</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Declining</w:t>
            </w:r>
          </w:p>
        </w:tc>
        <w:tc>
          <w:tcPr>
            <w:tcW w:w="1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Yes</w:t>
            </w:r>
          </w:p>
        </w:tc>
        <w:tc>
          <w:tcPr>
            <w:tcW w:w="120" w:type="dxa"/>
            <w:vAlign w:val="bottom"/>
          </w:tcPr>
          <w:p>
            <w:pPr>
              <w:spacing w:after="0"/>
              <w:rPr>
                <w:sz w:val="20"/>
                <w:szCs w:val="20"/>
                <w:color w:val="auto"/>
              </w:rPr>
            </w:pPr>
          </w:p>
        </w:tc>
        <w:tc>
          <w:tcPr>
            <w:tcW w:w="1500" w:type="dxa"/>
            <w:vAlign w:val="bottom"/>
          </w:tcPr>
          <w:p>
            <w:pPr>
              <w:ind w:left="1260"/>
              <w:spacing w:after="0"/>
              <w:rPr>
                <w:sz w:val="20"/>
                <w:szCs w:val="20"/>
                <w:color w:val="auto"/>
              </w:rPr>
            </w:pPr>
            <w:r>
              <w:rPr>
                <w:rFonts w:ascii="Arial" w:cs="Arial" w:eastAsia="Arial" w:hAnsi="Arial"/>
                <w:sz w:val="18"/>
                <w:szCs w:val="18"/>
                <w:color w:val="auto"/>
                <w:w w:val="95"/>
              </w:rPr>
              <w:t>No</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3/31/2024</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380" w:hanging="372"/>
        <w:spacing w:after="0" w:line="230" w:lineRule="auto"/>
        <w:tabs>
          <w:tab w:leader="none" w:pos="3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determination of individually significant multi-employer plans is based on our contributions to the plans relative to our total contributions over the periods presented, as well as our contributions to the plans relative to the total contributions that the individual plans received during the periods presented.</w:t>
      </w:r>
    </w:p>
    <w:p>
      <w:pPr>
        <w:jc w:val="both"/>
        <w:ind w:left="380" w:hanging="372"/>
        <w:spacing w:after="0" w:line="238" w:lineRule="auto"/>
        <w:tabs>
          <w:tab w:leader="none" w:pos="3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The Pension Protection Zone Status indicated herein is based on information that the Company obtained from the plans’ Forms 5500. Unless otherwise noted, the most recent PPA zone status available for 2022 and 2021 is for the plan’s year-end during calendar years 2021 and 2020, respectively. Among other factors, plans in the critical or critical and declining zone are generally less than 65 percent funded, plans in the endangered zone are less than 80 percent funded, and plans in the green zone are at least 80 percent funded.</w:t>
      </w:r>
    </w:p>
    <w:p>
      <w:pPr>
        <w:jc w:val="both"/>
        <w:ind w:left="380" w:hanging="372"/>
        <w:spacing w:after="0" w:line="231" w:lineRule="auto"/>
        <w:tabs>
          <w:tab w:leader="none" w:pos="3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policies of the Western Conference of Teamsters Pension Trust precluded the Company from reentering the plan on June 1, 2011. The plan did not assess a withdrawal liability and has not done so since June 1, 2011. Based on our most recent letter of understanding which has extended through 2024, no liability has been assessed. Contributions related to the employees previously covered by this plan are now being made to the Teamsters National 401(k) Plan.</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was listed in the Central States, Road Carriers Local 707 Pension Fund and Teamsters Local 641 Pension Fund’s Forms 5500 as providing more than 5 percent of the total contributions for 2022 and 2021.</w:t>
      </w:r>
    </w:p>
    <w:p>
      <w:pPr>
        <w:spacing w:after="0" w:line="1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contributed a total of $111.5 million, $115.4 million and $115.0 million in cash to the multi-employer pension funds for the years ended December 31, 2022, 2021 and 2020, respectively. The following table provides the pension amounts contributed by fund for those funds that are considered to be individually significant for the years ended December 31:</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r>
      <w:tr>
        <w:trPr>
          <w:trHeight w:val="236"/>
        </w:trPr>
        <w:tc>
          <w:tcPr>
            <w:tcW w:w="6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Central States, Southeast and Southwest Areas Pension Fund</w:t>
            </w:r>
          </w:p>
        </w:tc>
        <w:tc>
          <w:tcPr>
            <w:tcW w:w="16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63.0</w:t>
            </w:r>
          </w:p>
        </w:tc>
        <w:tc>
          <w:tcPr>
            <w:tcW w:w="16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68.4</w:t>
            </w: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69.0</w:t>
            </w:r>
          </w:p>
        </w:tc>
      </w:tr>
      <w:tr>
        <w:trPr>
          <w:trHeight w:val="236"/>
        </w:trPr>
        <w:tc>
          <w:tcPr>
            <w:tcW w:w="6420" w:type="dxa"/>
            <w:vAlign w:val="bottom"/>
          </w:tcPr>
          <w:p>
            <w:pPr>
              <w:ind w:left="20"/>
              <w:spacing w:after="0"/>
              <w:rPr>
                <w:sz w:val="20"/>
                <w:szCs w:val="20"/>
                <w:color w:val="auto"/>
              </w:rPr>
            </w:pPr>
            <w:r>
              <w:rPr>
                <w:rFonts w:ascii="Arial" w:cs="Arial" w:eastAsia="Arial" w:hAnsi="Arial"/>
                <w:sz w:val="18"/>
                <w:szCs w:val="18"/>
                <w:color w:val="auto"/>
              </w:rPr>
              <w:t>Teamsters National 401(k) Savings Plan</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54"/>
              <w:spacing w:after="0"/>
              <w:rPr>
                <w:sz w:val="20"/>
                <w:szCs w:val="20"/>
                <w:color w:val="auto"/>
              </w:rPr>
            </w:pPr>
            <w:r>
              <w:rPr>
                <w:rFonts w:ascii="Arial" w:cs="Arial" w:eastAsia="Arial" w:hAnsi="Arial"/>
                <w:sz w:val="18"/>
                <w:szCs w:val="18"/>
                <w:color w:val="auto"/>
              </w:rPr>
              <w:t>21.7</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18.9</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17.5</w:t>
            </w:r>
          </w:p>
        </w:tc>
      </w:tr>
      <w:tr>
        <w:trPr>
          <w:trHeight w:val="249"/>
        </w:trPr>
        <w:tc>
          <w:tcPr>
            <w:tcW w:w="6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Road Carriers Local 707 Pension Fund</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1.9</w:t>
            </w:r>
          </w:p>
        </w:tc>
      </w:tr>
      <w:tr>
        <w:trPr>
          <w:trHeight w:val="230"/>
        </w:trPr>
        <w:tc>
          <w:tcPr>
            <w:tcW w:w="6420" w:type="dxa"/>
            <w:vAlign w:val="bottom"/>
          </w:tcPr>
          <w:p>
            <w:pPr>
              <w:ind w:left="20"/>
              <w:spacing w:after="0"/>
              <w:rPr>
                <w:sz w:val="20"/>
                <w:szCs w:val="20"/>
                <w:color w:val="auto"/>
              </w:rPr>
            </w:pPr>
            <w:r>
              <w:rPr>
                <w:rFonts w:ascii="Arial" w:cs="Arial" w:eastAsia="Arial" w:hAnsi="Arial"/>
                <w:sz w:val="18"/>
                <w:szCs w:val="18"/>
                <w:color w:val="auto"/>
              </w:rPr>
              <w:t>Teamsters Local 641 Pension Fund</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54"/>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1.9</w:t>
            </w:r>
          </w:p>
        </w:tc>
      </w:tr>
    </w:tbl>
    <w:p>
      <w:pPr>
        <w:spacing w:after="0" w:line="17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March 2021, the American Rescue Plan Act of 2021 (the “ARPA”) was passed, which includes, among many other provisions, significant financial assistance for eligible, underfunded multi-employer pension plans. The Company believes that several multi-employer pension plans for employees covered by our collective bargaining agreements are eligible, including the Central States, Southeast and Southwest Areas Pension Fund and the Teamsters Local 641 Pension Fund. The special financial assistance provided by the ARPA is designed to cover the payments of accrued pension benefits through the 2051 plan year and is not subject to any repayment obligations. The Pension Benefit Guaranty Corporation ("PBGC") has issued the application requirements for special financial assistance and additional guidance, and has begun providing approvals to certain plans. To date we have not been impacted and based upon our understanding of these regulations and guidance, the Company does not anticipate any material short-term impacts of this financial assistance. On January 12, 2023, Central States announced that they had received $35.8 billion in funding from the American Rescue Plan. The Company is monitoring applications submitted by the relevant multi-employer pension plans.</w:t>
      </w:r>
    </w:p>
    <w:p>
      <w:pPr>
        <w:spacing w:after="0" w:line="15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we fail to make our required contributions to a multi-employer plan, it would expose us to penalties including potential withdrawal liabilities. The Company has no intention of triggering such withdrawal liabilities due to contributions or otherwise.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Savings Plans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sponsor the Yellow Corporation 401(k) Plan and the Reddaway Hourly 401(k) Plan, which are defined contribution plans primarily for employees that our collective bargaining agreements do not cover. The plans permit participants to make contributions to the plans and permit the employer of participants to make contributions on behalf of the participants. Additionally, the Reddaway Hourly 401(k) Plan allows for a non-elective employer contribution. Including non-elective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1" w:name="page52"/>
    <w:bookmarkEnd w:id="51"/>
    <w:p>
      <w:pPr>
        <w:jc w:val="both"/>
        <w:ind w:right="60"/>
        <w:spacing w:after="0" w:line="277" w:lineRule="auto"/>
        <w:rPr>
          <w:sz w:val="20"/>
          <w:szCs w:val="20"/>
          <w:color w:val="auto"/>
        </w:rPr>
      </w:pPr>
      <w:r>
        <w:rPr>
          <w:rFonts w:ascii="Arial" w:cs="Arial" w:eastAsia="Arial" w:hAnsi="Arial"/>
          <w:sz w:val="18"/>
          <w:szCs w:val="18"/>
          <w:color w:val="auto"/>
        </w:rPr>
        <w:t>employer contributions, total employer contributions were $8.9 million in 2022, $6.7 million in 2021 and $3.7 million in 2020. Our employees covered under collective bargaining agreements may also participate in union-sponsored 401(k) plans.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Incentive Awards</w:t>
      </w:r>
    </w:p>
    <w:p>
      <w:pPr>
        <w:spacing w:after="0" w:line="184"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The Company provides an annual incentive compensation plan (Annual Incentive Plan, or AIP) to certain salaried employees across various levels of the organization which is based on factors such as operating revenues and Adjusted EBITDA achieved for the year, compared to targeted operating results. Results from operations include incentive compensation expense of $8.2 million in 2022, $33.1 million in 2021 and $10.0 million in 2020, primarily for the AIP.</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Debt and Financing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Our outstanding debt as of December 31, 2022 and December 31, 2021 consisted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Commitment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center"/>
              <w:ind w:right="174"/>
              <w:spacing w:after="0"/>
              <w:rPr>
                <w:sz w:val="20"/>
                <w:szCs w:val="20"/>
                <w:color w:val="auto"/>
              </w:rPr>
            </w:pPr>
            <w:r>
              <w:rPr>
                <w:rFonts w:ascii="Arial" w:cs="Arial" w:eastAsia="Arial" w:hAnsi="Arial"/>
                <w:sz w:val="14"/>
                <w:szCs w:val="14"/>
                <w:b w:val="1"/>
                <w:bCs w:val="1"/>
                <w:color w:val="auto"/>
                <w:w w:val="89"/>
              </w:rPr>
              <w:t>Debt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Effective</w:t>
            </w:r>
          </w:p>
        </w:tc>
        <w:tc>
          <w:tcPr>
            <w:tcW w:w="0" w:type="dxa"/>
            <w:vAlign w:val="bottom"/>
          </w:tcPr>
          <w:p>
            <w:pPr>
              <w:spacing w:after="0"/>
              <w:rPr>
                <w:sz w:val="1"/>
                <w:szCs w:val="1"/>
                <w:color w:val="auto"/>
              </w:rPr>
            </w:pPr>
          </w:p>
        </w:tc>
      </w:tr>
      <w:tr>
        <w:trPr>
          <w:trHeight w:val="148"/>
        </w:trPr>
        <w:tc>
          <w:tcPr>
            <w:tcW w:w="44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 of December 31, 2022 (in millions)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Par Value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w w:val="93"/>
              </w:rPr>
              <w:t>Discount</w:t>
            </w: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174"/>
              <w:spacing w:after="0" w:line="149" w:lineRule="exact"/>
              <w:rPr>
                <w:sz w:val="20"/>
                <w:szCs w:val="20"/>
                <w:color w:val="auto"/>
              </w:rPr>
            </w:pPr>
            <w:r>
              <w:rPr>
                <w:rFonts w:ascii="Arial" w:cs="Arial" w:eastAsia="Arial" w:hAnsi="Arial"/>
                <w:sz w:val="14"/>
                <w:szCs w:val="14"/>
                <w:b w:val="1"/>
                <w:bCs w:val="1"/>
                <w:color w:val="auto"/>
                <w:w w:val="86"/>
              </w:rPr>
              <w:t>Issuance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w w:val="91"/>
              </w:rPr>
              <w:t>Book Value</w:t>
            </w:r>
          </w:p>
        </w:tc>
        <w:tc>
          <w:tcPr>
            <w:tcW w:w="22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Interest</w:t>
            </w:r>
          </w:p>
        </w:tc>
        <w:tc>
          <w:tcPr>
            <w:tcW w:w="0" w:type="dxa"/>
            <w:vAlign w:val="bottom"/>
          </w:tcPr>
          <w:p>
            <w:pPr>
              <w:spacing w:after="0"/>
              <w:rPr>
                <w:sz w:val="1"/>
                <w:szCs w:val="1"/>
                <w:color w:val="auto"/>
              </w:rPr>
            </w:pPr>
          </w:p>
        </w:tc>
      </w:tr>
      <w:tr>
        <w:trPr>
          <w:trHeight w:val="185"/>
        </w:trPr>
        <w:tc>
          <w:tcPr>
            <w:tcW w:w="44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Fee</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82"/>
              </w:rPr>
              <w:t>Costs</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20" w:type="dxa"/>
            <w:vAlign w:val="bottom"/>
            <w:vMerge w:val="restart"/>
          </w:tcPr>
          <w:p>
            <w:pPr>
              <w:ind w:left="20"/>
              <w:spacing w:after="0"/>
              <w:rPr>
                <w:sz w:val="20"/>
                <w:szCs w:val="20"/>
                <w:color w:val="auto"/>
              </w:rPr>
            </w:pPr>
            <w:r>
              <w:rPr>
                <w:rFonts w:ascii="Arial" w:cs="Arial" w:eastAsia="Arial" w:hAnsi="Arial"/>
                <w:sz w:val="12"/>
                <w:szCs w:val="12"/>
                <w:color w:val="auto"/>
              </w:rPr>
              <w:t>(b)</w:t>
            </w:r>
          </w:p>
        </w:tc>
        <w:tc>
          <w:tcPr>
            <w:tcW w:w="88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2"/>
              </w:rPr>
              <w:t>Rate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400" w:type="dxa"/>
            <w:vAlign w:val="bottom"/>
          </w:tcPr>
          <w:p>
            <w:pPr>
              <w:ind w:left="20"/>
              <w:spacing w:after="0" w:line="236" w:lineRule="exact"/>
              <w:rPr>
                <w:sz w:val="20"/>
                <w:szCs w:val="20"/>
                <w:color w:val="auto"/>
              </w:rPr>
            </w:pPr>
            <w:r>
              <w:rPr>
                <w:rFonts w:ascii="Arial" w:cs="Arial" w:eastAsia="Arial" w:hAnsi="Arial"/>
                <w:sz w:val="18"/>
                <w:szCs w:val="18"/>
                <w:color w:val="auto"/>
              </w:rPr>
              <w:t>UST Loan Tranche A</w:t>
            </w:r>
            <w:r>
              <w:rPr>
                <w:rFonts w:ascii="Arial" w:cs="Arial" w:eastAsia="Arial" w:hAnsi="Arial"/>
                <w:sz w:val="24"/>
                <w:szCs w:val="24"/>
                <w:color w:val="auto"/>
                <w:vertAlign w:val="superscript"/>
              </w:rPr>
              <w:t>(a)</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325.7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(8.2 )</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(2.2 )</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315.3</w:t>
            </w:r>
          </w:p>
        </w:tc>
        <w:tc>
          <w:tcPr>
            <w:tcW w:w="220" w:type="dxa"/>
            <w:vAlign w:val="bottom"/>
            <w:vMerge w:val="continue"/>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6.3 %</w:t>
            </w:r>
          </w:p>
        </w:tc>
        <w:tc>
          <w:tcPr>
            <w:tcW w:w="0" w:type="dxa"/>
            <w:vAlign w:val="bottom"/>
          </w:tcPr>
          <w:p>
            <w:pPr>
              <w:spacing w:after="0"/>
              <w:rPr>
                <w:sz w:val="1"/>
                <w:szCs w:val="1"/>
                <w:color w:val="auto"/>
              </w:rPr>
            </w:pPr>
          </w:p>
        </w:tc>
      </w:tr>
      <w:tr>
        <w:trPr>
          <w:trHeight w:val="175"/>
        </w:trPr>
        <w:tc>
          <w:tcPr>
            <w:tcW w:w="4400" w:type="dxa"/>
            <w:vAlign w:val="bottom"/>
          </w:tcPr>
          <w:p>
            <w:pPr>
              <w:ind w:left="20"/>
              <w:spacing w:after="0" w:line="176" w:lineRule="exact"/>
              <w:rPr>
                <w:sz w:val="20"/>
                <w:szCs w:val="20"/>
                <w:color w:val="auto"/>
              </w:rPr>
            </w:pPr>
            <w:r>
              <w:rPr>
                <w:rFonts w:ascii="Arial" w:cs="Arial" w:eastAsia="Arial" w:hAnsi="Arial"/>
                <w:sz w:val="18"/>
                <w:szCs w:val="18"/>
                <w:color w:val="auto"/>
              </w:rPr>
              <w:t>UST Loan Tranche B</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ind w:right="52"/>
              <w:spacing w:after="0" w:line="176" w:lineRule="exact"/>
              <w:rPr>
                <w:sz w:val="20"/>
                <w:szCs w:val="20"/>
                <w:color w:val="auto"/>
              </w:rPr>
            </w:pPr>
            <w:r>
              <w:rPr>
                <w:rFonts w:ascii="Arial" w:cs="Arial" w:eastAsia="Arial" w:hAnsi="Arial"/>
                <w:sz w:val="18"/>
                <w:szCs w:val="18"/>
                <w:color w:val="auto"/>
              </w:rPr>
              <w:t>400.0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ind w:right="52"/>
              <w:spacing w:after="0" w:line="17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(11.0 )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8"/>
                <w:szCs w:val="18"/>
                <w:color w:val="auto"/>
              </w:rPr>
              <w:t>(2.9 )</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ind w:right="32"/>
              <w:spacing w:after="0" w:line="176" w:lineRule="exact"/>
              <w:rPr>
                <w:sz w:val="20"/>
                <w:szCs w:val="20"/>
                <w:color w:val="auto"/>
              </w:rPr>
            </w:pPr>
            <w:r>
              <w:rPr>
                <w:rFonts w:ascii="Arial" w:cs="Arial" w:eastAsia="Arial" w:hAnsi="Arial"/>
                <w:sz w:val="18"/>
                <w:szCs w:val="18"/>
                <w:color w:val="auto"/>
              </w:rPr>
              <w:t>386.1</w:t>
            </w:r>
          </w:p>
        </w:tc>
        <w:tc>
          <w:tcPr>
            <w:tcW w:w="220" w:type="dxa"/>
            <w:vAlign w:val="bottom"/>
          </w:tcPr>
          <w:p>
            <w:pPr>
              <w:ind w:left="20"/>
              <w:spacing w:after="0"/>
              <w:rPr>
                <w:sz w:val="20"/>
                <w:szCs w:val="20"/>
                <w:color w:val="auto"/>
              </w:rPr>
            </w:pPr>
            <w:r>
              <w:rPr>
                <w:rFonts w:ascii="Arial" w:cs="Arial" w:eastAsia="Arial" w:hAnsi="Arial"/>
                <w:sz w:val="12"/>
                <w:szCs w:val="12"/>
                <w:color w:val="auto"/>
              </w:rPr>
              <w:t>(b)</w:t>
            </w:r>
          </w:p>
        </w:tc>
        <w:tc>
          <w:tcPr>
            <w:tcW w:w="9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6.5 %</w:t>
            </w:r>
          </w:p>
        </w:tc>
        <w:tc>
          <w:tcPr>
            <w:tcW w:w="0" w:type="dxa"/>
            <w:vAlign w:val="bottom"/>
          </w:tcPr>
          <w:p>
            <w:pPr>
              <w:spacing w:after="0"/>
              <w:rPr>
                <w:sz w:val="1"/>
                <w:szCs w:val="1"/>
                <w:color w:val="auto"/>
              </w:rPr>
            </w:pPr>
          </w:p>
        </w:tc>
      </w:tr>
      <w:tr>
        <w:trPr>
          <w:trHeight w:val="310"/>
        </w:trPr>
        <w:tc>
          <w:tcPr>
            <w:tcW w:w="4400" w:type="dxa"/>
            <w:vAlign w:val="bottom"/>
          </w:tcPr>
          <w:p>
            <w:pPr>
              <w:ind w:left="20"/>
              <w:spacing w:after="0"/>
              <w:rPr>
                <w:sz w:val="20"/>
                <w:szCs w:val="20"/>
                <w:color w:val="auto"/>
              </w:rPr>
            </w:pPr>
            <w:r>
              <w:rPr>
                <w:rFonts w:ascii="Arial" w:cs="Arial" w:eastAsia="Arial" w:hAnsi="Arial"/>
                <w:sz w:val="18"/>
                <w:szCs w:val="18"/>
                <w:color w:val="auto"/>
              </w:rPr>
              <w:t xml:space="preserve">Term Loan </w:t>
            </w:r>
            <w:r>
              <w:rPr>
                <w:rFonts w:ascii="Arial" w:cs="Arial" w:eastAsia="Arial" w:hAnsi="Arial"/>
                <w:sz w:val="24"/>
                <w:szCs w:val="24"/>
                <w:color w:val="auto"/>
                <w:vertAlign w:val="superscript"/>
              </w:rPr>
              <w:t>(a)</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569.1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(8.4 )</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(3.9 )</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556.8</w:t>
            </w:r>
          </w:p>
        </w:tc>
        <w:tc>
          <w:tcPr>
            <w:tcW w:w="220" w:type="dxa"/>
            <w:vAlign w:val="bottom"/>
          </w:tcPr>
          <w:p>
            <w:pPr>
              <w:ind w:left="20"/>
              <w:spacing w:after="0"/>
              <w:rPr>
                <w:sz w:val="20"/>
                <w:szCs w:val="20"/>
                <w:color w:val="auto"/>
              </w:rPr>
            </w:pPr>
            <w:r>
              <w:rPr>
                <w:rFonts w:ascii="Arial" w:cs="Arial" w:eastAsia="Arial" w:hAnsi="Arial"/>
                <w:sz w:val="12"/>
                <w:szCs w:val="12"/>
                <w:color w:val="auto"/>
              </w:rPr>
              <w:t>(c)</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9.5 %</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ABL Facility</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2"/>
        </w:trPr>
        <w:tc>
          <w:tcPr>
            <w:tcW w:w="4400" w:type="dxa"/>
            <w:vAlign w:val="bottom"/>
          </w:tcPr>
          <w:p>
            <w:pPr>
              <w:ind w:left="20"/>
              <w:spacing w:after="0"/>
              <w:rPr>
                <w:sz w:val="20"/>
                <w:szCs w:val="20"/>
                <w:color w:val="auto"/>
              </w:rPr>
            </w:pPr>
            <w:r>
              <w:rPr>
                <w:rFonts w:ascii="Arial" w:cs="Arial" w:eastAsia="Arial" w:hAnsi="Arial"/>
                <w:sz w:val="18"/>
                <w:szCs w:val="18"/>
                <w:color w:val="auto"/>
              </w:rPr>
              <w:t>Secured Second A&amp;R CDA</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23.5</w:t>
            </w:r>
          </w:p>
        </w:tc>
        <w:tc>
          <w:tcPr>
            <w:tcW w:w="22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7.7 %</w:t>
            </w:r>
          </w:p>
        </w:tc>
        <w:tc>
          <w:tcPr>
            <w:tcW w:w="0" w:type="dxa"/>
            <w:vAlign w:val="bottom"/>
          </w:tcPr>
          <w:p>
            <w:pPr>
              <w:spacing w:after="0"/>
              <w:rPr>
                <w:sz w:val="1"/>
                <w:szCs w:val="1"/>
                <w:color w:val="auto"/>
              </w:rPr>
            </w:pPr>
          </w:p>
        </w:tc>
      </w:tr>
      <w:tr>
        <w:trPr>
          <w:trHeight w:val="243"/>
        </w:trPr>
        <w:tc>
          <w:tcPr>
            <w:tcW w:w="4400" w:type="dxa"/>
            <w:vAlign w:val="bottom"/>
          </w:tcPr>
          <w:p>
            <w:pPr>
              <w:ind w:left="20"/>
              <w:spacing w:after="0"/>
              <w:rPr>
                <w:sz w:val="20"/>
                <w:szCs w:val="20"/>
                <w:color w:val="auto"/>
              </w:rPr>
            </w:pPr>
            <w:r>
              <w:rPr>
                <w:rFonts w:ascii="Arial" w:cs="Arial" w:eastAsia="Arial" w:hAnsi="Arial"/>
                <w:sz w:val="18"/>
                <w:szCs w:val="18"/>
                <w:color w:val="auto"/>
              </w:rPr>
              <w:t>Unsecured Second A&amp;R CDA</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42.5</w:t>
            </w:r>
          </w:p>
        </w:tc>
        <w:tc>
          <w:tcPr>
            <w:tcW w:w="220" w:type="dxa"/>
            <w:vAlign w:val="bottom"/>
            <w:vMerge w:val="restart"/>
          </w:tcPr>
          <w:p>
            <w:pPr>
              <w:ind w:left="20"/>
              <w:spacing w:after="0"/>
              <w:rPr>
                <w:sz w:val="20"/>
                <w:szCs w:val="20"/>
                <w:color w:val="auto"/>
              </w:rPr>
            </w:pPr>
            <w:r>
              <w:rPr>
                <w:rFonts w:ascii="Arial" w:cs="Arial" w:eastAsia="Arial" w:hAnsi="Arial"/>
                <w:sz w:val="12"/>
                <w:szCs w:val="12"/>
                <w:color w:val="auto"/>
              </w:rPr>
              <w:t>(d)</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7.7 %</w:t>
            </w:r>
          </w:p>
        </w:tc>
        <w:tc>
          <w:tcPr>
            <w:tcW w:w="0" w:type="dxa"/>
            <w:vAlign w:val="bottom"/>
          </w:tcPr>
          <w:p>
            <w:pPr>
              <w:spacing w:after="0"/>
              <w:rPr>
                <w:sz w:val="1"/>
                <w:szCs w:val="1"/>
                <w:color w:val="auto"/>
              </w:rPr>
            </w:pPr>
          </w:p>
        </w:tc>
      </w:tr>
      <w:tr>
        <w:trPr>
          <w:trHeight w:val="256"/>
        </w:trPr>
        <w:tc>
          <w:tcPr>
            <w:tcW w:w="4400" w:type="dxa"/>
            <w:vAlign w:val="bottom"/>
          </w:tcPr>
          <w:p>
            <w:pPr>
              <w:ind w:left="20"/>
              <w:spacing w:after="0"/>
              <w:rPr>
                <w:sz w:val="20"/>
                <w:szCs w:val="20"/>
                <w:color w:val="auto"/>
              </w:rPr>
            </w:pPr>
            <w:r>
              <w:rPr>
                <w:rFonts w:ascii="Arial" w:cs="Arial" w:eastAsia="Arial" w:hAnsi="Arial"/>
                <w:sz w:val="18"/>
                <w:szCs w:val="18"/>
                <w:color w:val="auto"/>
              </w:rPr>
              <w:t>Lease financing obligations</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213.9</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(0.1 )</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213.8</w:t>
            </w:r>
          </w:p>
        </w:tc>
        <w:tc>
          <w:tcPr>
            <w:tcW w:w="220" w:type="dxa"/>
            <w:vAlign w:val="bottom"/>
            <w:vMerge w:val="continue"/>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17.6 %</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Total debt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1,574.7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(8.4 )</w:t>
            </w:r>
          </w:p>
        </w:tc>
        <w:tc>
          <w:tcPr>
            <w:tcW w:w="3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(19.2 )</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(9.1 )</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1,538.0</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4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maturities of Term Loan</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4400" w:type="dxa"/>
            <w:vAlign w:val="bottom"/>
          </w:tcPr>
          <w:p>
            <w:pPr>
              <w:ind w:left="20"/>
              <w:spacing w:after="0"/>
              <w:rPr>
                <w:sz w:val="20"/>
                <w:szCs w:val="20"/>
                <w:color w:val="auto"/>
              </w:rPr>
            </w:pPr>
            <w:r>
              <w:rPr>
                <w:rFonts w:ascii="Arial" w:cs="Arial" w:eastAsia="Arial" w:hAnsi="Arial"/>
                <w:sz w:val="18"/>
                <w:szCs w:val="18"/>
                <w:color w:val="auto"/>
                <w:w w:val="92"/>
              </w:rPr>
              <w:t>Current maturities of Secured and Unsecured Second A&amp;R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00" w:type="dxa"/>
            <w:vAlign w:val="bottom"/>
          </w:tcPr>
          <w:p>
            <w:pPr>
              <w:ind w:left="20"/>
              <w:spacing w:after="0"/>
              <w:rPr>
                <w:sz w:val="20"/>
                <w:szCs w:val="20"/>
                <w:color w:val="auto"/>
              </w:rPr>
            </w:pPr>
            <w:r>
              <w:rPr>
                <w:rFonts w:ascii="Arial" w:cs="Arial" w:eastAsia="Arial" w:hAnsi="Arial"/>
                <w:sz w:val="18"/>
                <w:szCs w:val="18"/>
                <w:color w:val="auto"/>
              </w:rPr>
              <w:t>CDA</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(66.0 )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(66.0 )</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Current maturities of lease financing obligations</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(5.8 )</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(5.8 )</w:t>
            </w:r>
          </w:p>
        </w:tc>
        <w:tc>
          <w:tcPr>
            <w:tcW w:w="22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400" w:type="dxa"/>
            <w:vAlign w:val="bottom"/>
          </w:tcPr>
          <w:p>
            <w:pPr>
              <w:ind w:left="20"/>
              <w:spacing w:after="0"/>
              <w:rPr>
                <w:sz w:val="20"/>
                <w:szCs w:val="20"/>
                <w:color w:val="auto"/>
              </w:rPr>
            </w:pPr>
            <w:r>
              <w:rPr>
                <w:rFonts w:ascii="Arial" w:cs="Arial" w:eastAsia="Arial" w:hAnsi="Arial"/>
                <w:sz w:val="18"/>
                <w:szCs w:val="18"/>
                <w:color w:val="auto"/>
              </w:rPr>
              <w:t>Long-term debt, less current portion</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1,502.9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(8.4 )</w:t>
            </w:r>
          </w:p>
        </w:tc>
        <w:tc>
          <w:tcPr>
            <w:tcW w:w="3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(19.2 )</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(9.1 )</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1,466.2</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-2028825</wp:posOffset>
            </wp:positionV>
            <wp:extent cx="7132320" cy="15430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-1720215</wp:posOffset>
            </wp:positionV>
            <wp:extent cx="7132320" cy="1543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-1412240</wp:posOffset>
            </wp:positionV>
            <wp:extent cx="7132320" cy="15430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-1103630</wp:posOffset>
            </wp:positionV>
            <wp:extent cx="7132320" cy="31686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316865"/>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-187960</wp:posOffset>
            </wp:positionV>
            <wp:extent cx="68580" cy="18859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4303395</wp:posOffset>
            </wp:positionH>
            <wp:positionV relativeFrom="paragraph">
              <wp:posOffset>-187960</wp:posOffset>
            </wp:positionV>
            <wp:extent cx="68580" cy="18859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5005705</wp:posOffset>
            </wp:positionH>
            <wp:positionV relativeFrom="paragraph">
              <wp:posOffset>-187960</wp:posOffset>
            </wp:positionV>
            <wp:extent cx="59690" cy="18859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5699125</wp:posOffset>
            </wp:positionH>
            <wp:positionV relativeFrom="paragraph">
              <wp:posOffset>-187960</wp:posOffset>
            </wp:positionV>
            <wp:extent cx="59690" cy="18859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6443980</wp:posOffset>
            </wp:positionH>
            <wp:positionV relativeFrom="paragraph">
              <wp:posOffset>-187960</wp:posOffset>
            </wp:positionV>
            <wp:extent cx="128270" cy="18859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8270" cy="188595"/>
                    </a:xfrm>
                    <a:prstGeom prst="rect">
                      <a:avLst/>
                    </a:prstGeom>
                    <a:noFill/>
                  </pic:spPr>
                </pic:pic>
              </a:graphicData>
            </a:graphic>
          </wp:anchor>
        </w:drawing>
      </w:r>
    </w:p>
    <w:p>
      <w:pPr>
        <w:spacing w:after="0" w:line="109" w:lineRule="exact"/>
        <w:rPr>
          <w:sz w:val="20"/>
          <w:szCs w:val="20"/>
          <w:color w:val="auto"/>
        </w:rPr>
      </w:pPr>
    </w:p>
    <w:p>
      <w:pPr>
        <w:ind w:left="380" w:hanging="372"/>
        <w:spacing w:after="0"/>
        <w:tabs>
          <w:tab w:leader="none" w:pos="3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Par Value and the Book Value both reflect the accumulated cash funds that have been drawn, plus the accumulated paid-in-kind interest.</w:t>
      </w:r>
    </w:p>
    <w:p>
      <w:pPr>
        <w:ind w:left="380" w:hanging="372"/>
        <w:spacing w:after="0" w:line="221" w:lineRule="auto"/>
        <w:tabs>
          <w:tab w:leader="none" w:pos="3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Variable interest rate based on the Eurodollar rate, which is currently determined by the 1, 2, 3 or 6-month USD LIBOR, with a floor of 1.0%, plus a fixed margin of 3.5%.</w:t>
      </w:r>
    </w:p>
    <w:p>
      <w:pPr>
        <w:ind w:left="380" w:hanging="372"/>
        <w:spacing w:after="0" w:line="221" w:lineRule="auto"/>
        <w:tabs>
          <w:tab w:leader="none" w:pos="3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Variable interest rate based on the Eurodollar rate, which is currently determined by the 1, 3 or 6-month USD LIBOR, with a floor of 1.0%, plus a fixed margin of 7.5%.</w:t>
      </w:r>
    </w:p>
    <w:p>
      <w:pPr>
        <w:ind w:left="380" w:right="60" w:hanging="372"/>
        <w:spacing w:after="0" w:line="237" w:lineRule="auto"/>
        <w:tabs>
          <w:tab w:leader="none" w:pos="3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Interest rate for lease financing obligations is derived from the difference between total rent payment and calculated principal amortization over the life of lease agreements. The remaining term of these obligations ranges between 2024 and 2032 with right of renewal options available.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vMerge w:val="restart"/>
          </w:tcPr>
          <w:p>
            <w:pPr>
              <w:jc w:val="right"/>
              <w:ind w:right="112"/>
              <w:spacing w:after="0"/>
              <w:rPr>
                <w:sz w:val="20"/>
                <w:szCs w:val="20"/>
                <w:color w:val="auto"/>
              </w:rPr>
            </w:pPr>
            <w:r>
              <w:rPr>
                <w:rFonts w:ascii="Arial" w:cs="Arial" w:eastAsia="Arial" w:hAnsi="Arial"/>
                <w:sz w:val="14"/>
                <w:szCs w:val="14"/>
                <w:b w:val="1"/>
                <w:bCs w:val="1"/>
                <w:color w:val="auto"/>
              </w:rPr>
              <w:t>Commitment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174"/>
              <w:spacing w:after="0"/>
              <w:rPr>
                <w:sz w:val="20"/>
                <w:szCs w:val="20"/>
                <w:color w:val="auto"/>
              </w:rPr>
            </w:pPr>
            <w:r>
              <w:rPr>
                <w:rFonts w:ascii="Arial" w:cs="Arial" w:eastAsia="Arial" w:hAnsi="Arial"/>
                <w:sz w:val="14"/>
                <w:szCs w:val="14"/>
                <w:b w:val="1"/>
                <w:bCs w:val="1"/>
                <w:color w:val="auto"/>
                <w:w w:val="89"/>
              </w:rPr>
              <w:t>Debt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Effective</w:t>
            </w:r>
          </w:p>
        </w:tc>
        <w:tc>
          <w:tcPr>
            <w:tcW w:w="0" w:type="dxa"/>
            <w:vAlign w:val="bottom"/>
          </w:tcPr>
          <w:p>
            <w:pPr>
              <w:spacing w:after="0"/>
              <w:rPr>
                <w:sz w:val="1"/>
                <w:szCs w:val="1"/>
                <w:color w:val="auto"/>
              </w:rPr>
            </w:pPr>
          </w:p>
        </w:tc>
      </w:tr>
      <w:tr>
        <w:trPr>
          <w:trHeight w:val="148"/>
        </w:trPr>
        <w:tc>
          <w:tcPr>
            <w:tcW w:w="43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 of December 31, 2021 (in millions)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w w:val="97"/>
              </w:rPr>
              <w:t>Par Value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w w:val="93"/>
              </w:rPr>
              <w:t>Discount</w:t>
            </w: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ind w:right="174"/>
              <w:spacing w:after="0" w:line="149" w:lineRule="exact"/>
              <w:rPr>
                <w:sz w:val="20"/>
                <w:szCs w:val="20"/>
                <w:color w:val="auto"/>
              </w:rPr>
            </w:pPr>
            <w:r>
              <w:rPr>
                <w:rFonts w:ascii="Arial" w:cs="Arial" w:eastAsia="Arial" w:hAnsi="Arial"/>
                <w:sz w:val="14"/>
                <w:szCs w:val="14"/>
                <w:b w:val="1"/>
                <w:bCs w:val="1"/>
                <w:color w:val="auto"/>
                <w:w w:val="86"/>
              </w:rPr>
              <w:t>Issuance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w w:val="91"/>
              </w:rPr>
              <w:t>Book Value</w:t>
            </w:r>
          </w:p>
        </w:tc>
        <w:tc>
          <w:tcPr>
            <w:tcW w:w="22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Interest</w:t>
            </w:r>
          </w:p>
        </w:tc>
        <w:tc>
          <w:tcPr>
            <w:tcW w:w="0" w:type="dxa"/>
            <w:vAlign w:val="bottom"/>
          </w:tcPr>
          <w:p>
            <w:pPr>
              <w:spacing w:after="0"/>
              <w:rPr>
                <w:sz w:val="1"/>
                <w:szCs w:val="1"/>
                <w:color w:val="auto"/>
              </w:rPr>
            </w:pPr>
          </w:p>
        </w:tc>
      </w:tr>
      <w:tr>
        <w:trPr>
          <w:trHeight w:val="185"/>
        </w:trPr>
        <w:tc>
          <w:tcPr>
            <w:tcW w:w="43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Fee</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82"/>
              </w:rPr>
              <w:t>Costs</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20" w:type="dxa"/>
            <w:vAlign w:val="bottom"/>
            <w:vMerge w:val="restart"/>
          </w:tcPr>
          <w:p>
            <w:pPr>
              <w:ind w:left="20"/>
              <w:spacing w:after="0"/>
              <w:rPr>
                <w:sz w:val="20"/>
                <w:szCs w:val="20"/>
                <w:color w:val="auto"/>
              </w:rPr>
            </w:pPr>
            <w:r>
              <w:rPr>
                <w:rFonts w:ascii="Arial" w:cs="Arial" w:eastAsia="Arial" w:hAnsi="Arial"/>
                <w:sz w:val="12"/>
                <w:szCs w:val="12"/>
                <w:color w:val="auto"/>
              </w:rPr>
              <w:t>(b)</w:t>
            </w:r>
          </w:p>
        </w:tc>
        <w:tc>
          <w:tcPr>
            <w:tcW w:w="84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2"/>
              </w:rPr>
              <w:t>Rate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340" w:type="dxa"/>
            <w:vAlign w:val="bottom"/>
          </w:tcPr>
          <w:p>
            <w:pPr>
              <w:ind w:left="20"/>
              <w:spacing w:after="0" w:line="169" w:lineRule="exact"/>
              <w:rPr>
                <w:sz w:val="20"/>
                <w:szCs w:val="20"/>
                <w:color w:val="auto"/>
              </w:rPr>
            </w:pPr>
            <w:r>
              <w:rPr>
                <w:rFonts w:ascii="Arial" w:cs="Arial" w:eastAsia="Arial" w:hAnsi="Arial"/>
                <w:sz w:val="15"/>
                <w:szCs w:val="15"/>
                <w:color w:val="auto"/>
              </w:rPr>
              <w:t>UST Loan Tranche A</w:t>
            </w:r>
            <w:r>
              <w:rPr>
                <w:rFonts w:ascii="Arial" w:cs="Arial" w:eastAsia="Arial" w:hAnsi="Arial"/>
                <w:sz w:val="19"/>
                <w:szCs w:val="19"/>
                <w:color w:val="auto"/>
                <w:vertAlign w:val="superscript"/>
              </w:rPr>
              <w:t>(a)</w:t>
            </w:r>
          </w:p>
        </w:tc>
        <w:tc>
          <w:tcPr>
            <w:tcW w:w="120" w:type="dxa"/>
            <w:vAlign w:val="bottom"/>
          </w:tcPr>
          <w:p>
            <w:pPr>
              <w:spacing w:after="0"/>
              <w:rPr>
                <w:sz w:val="14"/>
                <w:szCs w:val="14"/>
                <w:color w:val="auto"/>
              </w:rPr>
            </w:pPr>
          </w:p>
        </w:tc>
        <w:tc>
          <w:tcPr>
            <w:tcW w:w="160" w:type="dxa"/>
            <w:vAlign w:val="bottom"/>
          </w:tcPr>
          <w:p>
            <w:pPr>
              <w:jc w:val="right"/>
              <w:spacing w:after="0" w:line="169"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ind w:right="52"/>
              <w:spacing w:after="0" w:line="169" w:lineRule="exact"/>
              <w:rPr>
                <w:sz w:val="20"/>
                <w:szCs w:val="20"/>
                <w:color w:val="auto"/>
              </w:rPr>
            </w:pPr>
            <w:r>
              <w:rPr>
                <w:rFonts w:ascii="Arial" w:cs="Arial" w:eastAsia="Arial" w:hAnsi="Arial"/>
                <w:sz w:val="18"/>
                <w:szCs w:val="18"/>
                <w:color w:val="auto"/>
              </w:rPr>
              <w:t>311.4</w:t>
            </w:r>
          </w:p>
        </w:tc>
        <w:tc>
          <w:tcPr>
            <w:tcW w:w="100" w:type="dxa"/>
            <w:vAlign w:val="bottom"/>
          </w:tcPr>
          <w:p>
            <w:pPr>
              <w:spacing w:after="0"/>
              <w:rPr>
                <w:sz w:val="14"/>
                <w:szCs w:val="14"/>
                <w:color w:val="auto"/>
              </w:rPr>
            </w:pPr>
          </w:p>
        </w:tc>
        <w:tc>
          <w:tcPr>
            <w:tcW w:w="120" w:type="dxa"/>
            <w:vAlign w:val="bottom"/>
          </w:tcPr>
          <w:p>
            <w:pPr>
              <w:jc w:val="right"/>
              <w:spacing w:after="0" w:line="169"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ind w:right="32"/>
              <w:spacing w:after="0" w:line="169"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4"/>
                <w:szCs w:val="14"/>
                <w:color w:val="auto"/>
              </w:rPr>
            </w:pPr>
          </w:p>
        </w:tc>
        <w:tc>
          <w:tcPr>
            <w:tcW w:w="240" w:type="dxa"/>
            <w:vAlign w:val="bottom"/>
          </w:tcPr>
          <w:p>
            <w:pPr>
              <w:jc w:val="right"/>
              <w:ind w:right="59"/>
              <w:spacing w:after="0" w:line="169"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169" w:lineRule="exact"/>
              <w:rPr>
                <w:sz w:val="20"/>
                <w:szCs w:val="20"/>
                <w:color w:val="auto"/>
              </w:rPr>
            </w:pPr>
            <w:r>
              <w:rPr>
                <w:rFonts w:ascii="Arial" w:cs="Arial" w:eastAsia="Arial" w:hAnsi="Arial"/>
                <w:sz w:val="18"/>
                <w:szCs w:val="18"/>
                <w:color w:val="auto"/>
              </w:rPr>
              <w:t>(12.9 )</w:t>
            </w:r>
          </w:p>
        </w:tc>
        <w:tc>
          <w:tcPr>
            <w:tcW w:w="100" w:type="dxa"/>
            <w:vAlign w:val="bottom"/>
          </w:tcPr>
          <w:p>
            <w:pPr>
              <w:spacing w:after="0"/>
              <w:rPr>
                <w:sz w:val="14"/>
                <w:szCs w:val="14"/>
                <w:color w:val="auto"/>
              </w:rPr>
            </w:pPr>
          </w:p>
        </w:tc>
        <w:tc>
          <w:tcPr>
            <w:tcW w:w="140" w:type="dxa"/>
            <w:vAlign w:val="bottom"/>
          </w:tcPr>
          <w:p>
            <w:pPr>
              <w:jc w:val="right"/>
              <w:spacing w:after="0" w:line="169"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169" w:lineRule="exact"/>
              <w:rPr>
                <w:sz w:val="20"/>
                <w:szCs w:val="20"/>
                <w:color w:val="auto"/>
              </w:rPr>
            </w:pPr>
            <w:r>
              <w:rPr>
                <w:rFonts w:ascii="Arial" w:cs="Arial" w:eastAsia="Arial" w:hAnsi="Arial"/>
                <w:sz w:val="18"/>
                <w:szCs w:val="18"/>
                <w:color w:val="auto"/>
              </w:rPr>
              <w:t>(3.4 )</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32"/>
              <w:spacing w:after="0" w:line="169" w:lineRule="exact"/>
              <w:rPr>
                <w:sz w:val="20"/>
                <w:szCs w:val="20"/>
                <w:color w:val="auto"/>
              </w:rPr>
            </w:pPr>
            <w:r>
              <w:rPr>
                <w:rFonts w:ascii="Arial" w:cs="Arial" w:eastAsia="Arial" w:hAnsi="Arial"/>
                <w:sz w:val="18"/>
                <w:szCs w:val="18"/>
                <w:color w:val="auto"/>
              </w:rPr>
              <w:t>295.1</w:t>
            </w:r>
          </w:p>
        </w:tc>
        <w:tc>
          <w:tcPr>
            <w:tcW w:w="220" w:type="dxa"/>
            <w:vAlign w:val="bottom"/>
            <w:vMerge w:val="continue"/>
          </w:tcPr>
          <w:p>
            <w:pPr>
              <w:spacing w:after="0"/>
              <w:rPr>
                <w:sz w:val="14"/>
                <w:szCs w:val="14"/>
                <w:color w:val="auto"/>
              </w:rPr>
            </w:pPr>
          </w:p>
        </w:tc>
        <w:tc>
          <w:tcPr>
            <w:tcW w:w="900" w:type="dxa"/>
            <w:vAlign w:val="bottom"/>
            <w:gridSpan w:val="2"/>
          </w:tcPr>
          <w:p>
            <w:pPr>
              <w:jc w:val="right"/>
              <w:spacing w:after="0" w:line="169" w:lineRule="exact"/>
              <w:rPr>
                <w:sz w:val="20"/>
                <w:szCs w:val="20"/>
                <w:color w:val="auto"/>
              </w:rPr>
            </w:pPr>
            <w:r>
              <w:rPr>
                <w:rFonts w:ascii="Arial" w:cs="Arial" w:eastAsia="Arial" w:hAnsi="Arial"/>
                <w:sz w:val="18"/>
                <w:szCs w:val="18"/>
                <w:color w:val="auto"/>
              </w:rPr>
              <w:t>6.4 %</w:t>
            </w:r>
          </w:p>
        </w:tc>
        <w:tc>
          <w:tcPr>
            <w:tcW w:w="0" w:type="dxa"/>
            <w:vAlign w:val="bottom"/>
          </w:tcPr>
          <w:p>
            <w:pPr>
              <w:spacing w:after="0"/>
              <w:rPr>
                <w:sz w:val="1"/>
                <w:szCs w:val="1"/>
                <w:color w:val="auto"/>
              </w:rPr>
            </w:pPr>
          </w:p>
        </w:tc>
      </w:tr>
      <w:tr>
        <w:trPr>
          <w:trHeight w:val="243"/>
        </w:trPr>
        <w:tc>
          <w:tcPr>
            <w:tcW w:w="4340" w:type="dxa"/>
            <w:vAlign w:val="bottom"/>
          </w:tcPr>
          <w:p>
            <w:pPr>
              <w:ind w:left="20"/>
              <w:spacing w:after="0"/>
              <w:rPr>
                <w:sz w:val="20"/>
                <w:szCs w:val="20"/>
                <w:color w:val="auto"/>
              </w:rPr>
            </w:pPr>
            <w:r>
              <w:rPr>
                <w:rFonts w:ascii="Arial" w:cs="Arial" w:eastAsia="Arial" w:hAnsi="Arial"/>
                <w:sz w:val="18"/>
                <w:szCs w:val="18"/>
                <w:color w:val="auto"/>
              </w:rPr>
              <w:t>UST Loan Tranche B</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(17.3 )</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(4.5 )</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378.2</w:t>
            </w:r>
          </w:p>
        </w:tc>
        <w:tc>
          <w:tcPr>
            <w:tcW w:w="220" w:type="dxa"/>
            <w:vAlign w:val="bottom"/>
          </w:tcPr>
          <w:p>
            <w:pPr>
              <w:ind w:left="20"/>
              <w:spacing w:after="0"/>
              <w:rPr>
                <w:sz w:val="20"/>
                <w:szCs w:val="20"/>
                <w:color w:val="auto"/>
              </w:rPr>
            </w:pPr>
            <w:r>
              <w:rPr>
                <w:rFonts w:ascii="Arial" w:cs="Arial" w:eastAsia="Arial" w:hAnsi="Arial"/>
                <w:sz w:val="12"/>
                <w:szCs w:val="12"/>
                <w:color w:val="auto"/>
              </w:rPr>
              <w:t>(b)</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6.5 %</w:t>
            </w:r>
          </w:p>
        </w:tc>
        <w:tc>
          <w:tcPr>
            <w:tcW w:w="0" w:type="dxa"/>
            <w:vAlign w:val="bottom"/>
          </w:tcPr>
          <w:p>
            <w:pPr>
              <w:spacing w:after="0"/>
              <w:rPr>
                <w:sz w:val="1"/>
                <w:szCs w:val="1"/>
                <w:color w:val="auto"/>
              </w:rPr>
            </w:pPr>
          </w:p>
        </w:tc>
      </w:tr>
      <w:tr>
        <w:trPr>
          <w:trHeight w:val="297"/>
        </w:trPr>
        <w:tc>
          <w:tcPr>
            <w:tcW w:w="4340" w:type="dxa"/>
            <w:vAlign w:val="bottom"/>
          </w:tcPr>
          <w:p>
            <w:pPr>
              <w:ind w:left="20"/>
              <w:spacing w:after="0"/>
              <w:rPr>
                <w:sz w:val="20"/>
                <w:szCs w:val="20"/>
                <w:color w:val="auto"/>
              </w:rPr>
            </w:pPr>
            <w:r>
              <w:rPr>
                <w:rFonts w:ascii="Arial" w:cs="Arial" w:eastAsia="Arial" w:hAnsi="Arial"/>
                <w:sz w:val="18"/>
                <w:szCs w:val="18"/>
                <w:color w:val="auto"/>
              </w:rPr>
              <w:t>Term Loan</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612.5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(15.0 )</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(6.6 )</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590.9</w:t>
            </w:r>
          </w:p>
        </w:tc>
        <w:tc>
          <w:tcPr>
            <w:tcW w:w="220" w:type="dxa"/>
            <w:vAlign w:val="bottom"/>
          </w:tcPr>
          <w:p>
            <w:pPr>
              <w:ind w:left="20"/>
              <w:spacing w:after="0"/>
              <w:rPr>
                <w:sz w:val="20"/>
                <w:szCs w:val="20"/>
                <w:color w:val="auto"/>
              </w:rPr>
            </w:pPr>
            <w:r>
              <w:rPr>
                <w:rFonts w:ascii="Arial" w:cs="Arial" w:eastAsia="Arial" w:hAnsi="Arial"/>
                <w:sz w:val="12"/>
                <w:szCs w:val="12"/>
                <w:color w:val="auto"/>
              </w:rPr>
              <w:t>(c)</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9.5 %</w:t>
            </w:r>
          </w:p>
        </w:tc>
        <w:tc>
          <w:tcPr>
            <w:tcW w:w="0" w:type="dxa"/>
            <w:vAlign w:val="bottom"/>
          </w:tcPr>
          <w:p>
            <w:pPr>
              <w:spacing w:after="0"/>
              <w:rPr>
                <w:sz w:val="1"/>
                <w:szCs w:val="1"/>
                <w:color w:val="auto"/>
              </w:rPr>
            </w:pPr>
          </w:p>
        </w:tc>
      </w:tr>
      <w:tr>
        <w:trPr>
          <w:trHeight w:val="243"/>
        </w:trPr>
        <w:tc>
          <w:tcPr>
            <w:tcW w:w="4340" w:type="dxa"/>
            <w:vAlign w:val="bottom"/>
          </w:tcPr>
          <w:p>
            <w:pPr>
              <w:ind w:left="20"/>
              <w:spacing w:after="0"/>
              <w:rPr>
                <w:sz w:val="20"/>
                <w:szCs w:val="20"/>
                <w:color w:val="auto"/>
              </w:rPr>
            </w:pPr>
            <w:r>
              <w:rPr>
                <w:rFonts w:ascii="Arial" w:cs="Arial" w:eastAsia="Arial" w:hAnsi="Arial"/>
                <w:sz w:val="18"/>
                <w:szCs w:val="18"/>
                <w:color w:val="auto"/>
              </w:rPr>
              <w:t>ABL Facility</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3"/>
        </w:trPr>
        <w:tc>
          <w:tcPr>
            <w:tcW w:w="4340" w:type="dxa"/>
            <w:vAlign w:val="bottom"/>
          </w:tcPr>
          <w:p>
            <w:pPr>
              <w:ind w:left="20"/>
              <w:spacing w:after="0"/>
              <w:rPr>
                <w:sz w:val="20"/>
                <w:szCs w:val="20"/>
                <w:color w:val="auto"/>
              </w:rPr>
            </w:pPr>
            <w:r>
              <w:rPr>
                <w:rFonts w:ascii="Arial" w:cs="Arial" w:eastAsia="Arial" w:hAnsi="Arial"/>
                <w:sz w:val="18"/>
                <w:szCs w:val="18"/>
                <w:color w:val="auto"/>
              </w:rPr>
              <w:t>Secured Second A&amp;R CDA</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24.1</w:t>
            </w:r>
          </w:p>
        </w:tc>
        <w:tc>
          <w:tcPr>
            <w:tcW w:w="22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7.7 %</w:t>
            </w:r>
          </w:p>
        </w:tc>
        <w:tc>
          <w:tcPr>
            <w:tcW w:w="0" w:type="dxa"/>
            <w:vAlign w:val="bottom"/>
          </w:tcPr>
          <w:p>
            <w:pPr>
              <w:spacing w:after="0"/>
              <w:rPr>
                <w:sz w:val="1"/>
                <w:szCs w:val="1"/>
                <w:color w:val="auto"/>
              </w:rPr>
            </w:pPr>
          </w:p>
        </w:tc>
      </w:tr>
      <w:tr>
        <w:trPr>
          <w:trHeight w:val="243"/>
        </w:trPr>
        <w:tc>
          <w:tcPr>
            <w:tcW w:w="4340" w:type="dxa"/>
            <w:vAlign w:val="bottom"/>
          </w:tcPr>
          <w:p>
            <w:pPr>
              <w:ind w:left="20"/>
              <w:spacing w:after="0"/>
              <w:rPr>
                <w:sz w:val="20"/>
                <w:szCs w:val="20"/>
                <w:color w:val="auto"/>
              </w:rPr>
            </w:pPr>
            <w:r>
              <w:rPr>
                <w:rFonts w:ascii="Arial" w:cs="Arial" w:eastAsia="Arial" w:hAnsi="Arial"/>
                <w:sz w:val="18"/>
                <w:szCs w:val="18"/>
                <w:color w:val="auto"/>
              </w:rPr>
              <w:t>Unsecured Second A&amp;R CDA</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42.4</w:t>
            </w:r>
          </w:p>
        </w:tc>
        <w:tc>
          <w:tcPr>
            <w:tcW w:w="220" w:type="dxa"/>
            <w:vAlign w:val="bottom"/>
            <w:vMerge w:val="restart"/>
          </w:tcPr>
          <w:p>
            <w:pPr>
              <w:ind w:left="20"/>
              <w:spacing w:after="0"/>
              <w:rPr>
                <w:sz w:val="20"/>
                <w:szCs w:val="20"/>
                <w:color w:val="auto"/>
              </w:rPr>
            </w:pPr>
            <w:r>
              <w:rPr>
                <w:rFonts w:ascii="Arial" w:cs="Arial" w:eastAsia="Arial" w:hAnsi="Arial"/>
                <w:sz w:val="12"/>
                <w:szCs w:val="12"/>
                <w:color w:val="auto"/>
              </w:rPr>
              <w:t>(d)</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7.7 %</w:t>
            </w:r>
          </w:p>
        </w:tc>
        <w:tc>
          <w:tcPr>
            <w:tcW w:w="0" w:type="dxa"/>
            <w:vAlign w:val="bottom"/>
          </w:tcPr>
          <w:p>
            <w:pPr>
              <w:spacing w:after="0"/>
              <w:rPr>
                <w:sz w:val="1"/>
                <w:szCs w:val="1"/>
                <w:color w:val="auto"/>
              </w:rPr>
            </w:pPr>
          </w:p>
        </w:tc>
      </w:tr>
      <w:tr>
        <w:trPr>
          <w:trHeight w:val="256"/>
        </w:trPr>
        <w:tc>
          <w:tcPr>
            <w:tcW w:w="4340" w:type="dxa"/>
            <w:vAlign w:val="bottom"/>
          </w:tcPr>
          <w:p>
            <w:pPr>
              <w:ind w:left="20"/>
              <w:spacing w:after="0"/>
              <w:rPr>
                <w:sz w:val="20"/>
                <w:szCs w:val="20"/>
                <w:color w:val="auto"/>
              </w:rPr>
            </w:pPr>
            <w:r>
              <w:rPr>
                <w:rFonts w:ascii="Arial" w:cs="Arial" w:eastAsia="Arial" w:hAnsi="Arial"/>
                <w:sz w:val="18"/>
                <w:szCs w:val="18"/>
                <w:color w:val="auto"/>
              </w:rPr>
              <w:t>Lease financing obligations</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224.0</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223.8</w:t>
            </w:r>
          </w:p>
        </w:tc>
        <w:tc>
          <w:tcPr>
            <w:tcW w:w="220" w:type="dxa"/>
            <w:vAlign w:val="bottom"/>
            <w:vMerge w:val="continue"/>
          </w:tcPr>
          <w:p>
            <w:pPr>
              <w:spacing w:after="0"/>
              <w:rPr>
                <w:sz w:val="22"/>
                <w:szCs w:val="22"/>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17.4 %</w:t>
            </w:r>
          </w:p>
        </w:tc>
        <w:tc>
          <w:tcPr>
            <w:tcW w:w="0" w:type="dxa"/>
            <w:vAlign w:val="bottom"/>
          </w:tcPr>
          <w:p>
            <w:pPr>
              <w:spacing w:after="0"/>
              <w:rPr>
                <w:sz w:val="1"/>
                <w:szCs w:val="1"/>
                <w:color w:val="auto"/>
              </w:rPr>
            </w:pPr>
          </w:p>
        </w:tc>
      </w:tr>
      <w:tr>
        <w:trPr>
          <w:trHeight w:val="230"/>
        </w:trPr>
        <w:tc>
          <w:tcPr>
            <w:tcW w:w="4340" w:type="dxa"/>
            <w:vAlign w:val="bottom"/>
          </w:tcPr>
          <w:p>
            <w:pPr>
              <w:ind w:left="20"/>
              <w:spacing w:after="0"/>
              <w:rPr>
                <w:sz w:val="20"/>
                <w:szCs w:val="20"/>
                <w:color w:val="auto"/>
              </w:rPr>
            </w:pPr>
            <w:r>
              <w:rPr>
                <w:rFonts w:ascii="Arial" w:cs="Arial" w:eastAsia="Arial" w:hAnsi="Arial"/>
                <w:sz w:val="18"/>
                <w:szCs w:val="18"/>
                <w:color w:val="auto"/>
              </w:rPr>
              <w:t>Total debt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1,614.5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(15.0 )</w:t>
            </w:r>
          </w:p>
        </w:tc>
        <w:tc>
          <w:tcPr>
            <w:tcW w:w="36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(30.2 )</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(14.8 )</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1,554.5</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4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maturities of Unsecured Second A&amp;R CDA</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(1.5 )</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(1.5 )</w:t>
            </w: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4340" w:type="dxa"/>
            <w:vAlign w:val="bottom"/>
          </w:tcPr>
          <w:p>
            <w:pPr>
              <w:ind w:left="20"/>
              <w:spacing w:after="0"/>
              <w:rPr>
                <w:sz w:val="20"/>
                <w:szCs w:val="20"/>
                <w:color w:val="auto"/>
              </w:rPr>
            </w:pPr>
            <w:r>
              <w:rPr>
                <w:rFonts w:ascii="Arial" w:cs="Arial" w:eastAsia="Arial" w:hAnsi="Arial"/>
                <w:sz w:val="18"/>
                <w:szCs w:val="18"/>
                <w:color w:val="auto"/>
                <w:w w:val="91"/>
              </w:rPr>
              <w:t>Current maturities of Secured and Unsecured Second A&amp;R</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340" w:type="dxa"/>
            <w:vAlign w:val="bottom"/>
          </w:tcPr>
          <w:p>
            <w:pPr>
              <w:ind w:left="20"/>
              <w:spacing w:after="0"/>
              <w:rPr>
                <w:sz w:val="20"/>
                <w:szCs w:val="20"/>
                <w:color w:val="auto"/>
              </w:rPr>
            </w:pPr>
            <w:r>
              <w:rPr>
                <w:rFonts w:ascii="Arial" w:cs="Arial" w:eastAsia="Arial" w:hAnsi="Arial"/>
                <w:sz w:val="18"/>
                <w:szCs w:val="18"/>
                <w:color w:val="auto"/>
              </w:rPr>
              <w:t>CDA</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(66.6 )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(66.5 )</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3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Current maturities of lease financing obligations</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(4.3 )</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(4.3 )</w:t>
            </w:r>
          </w:p>
        </w:tc>
        <w:tc>
          <w:tcPr>
            <w:tcW w:w="22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340" w:type="dxa"/>
            <w:vAlign w:val="bottom"/>
          </w:tcPr>
          <w:p>
            <w:pPr>
              <w:ind w:left="20"/>
              <w:spacing w:after="0"/>
              <w:rPr>
                <w:sz w:val="20"/>
                <w:szCs w:val="20"/>
                <w:color w:val="auto"/>
              </w:rPr>
            </w:pPr>
            <w:r>
              <w:rPr>
                <w:rFonts w:ascii="Arial" w:cs="Arial" w:eastAsia="Arial" w:hAnsi="Arial"/>
                <w:sz w:val="18"/>
                <w:szCs w:val="18"/>
                <w:color w:val="auto"/>
              </w:rPr>
              <w:t>Long-term debt, less current portion</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1,542.1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(15.0 )</w:t>
            </w:r>
          </w:p>
        </w:tc>
        <w:tc>
          <w:tcPr>
            <w:tcW w:w="36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(30.2 )</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(14.7 )</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1,482.2</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-2028825</wp:posOffset>
            </wp:positionV>
            <wp:extent cx="7132320" cy="15430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-1720215</wp:posOffset>
            </wp:positionV>
            <wp:extent cx="7132320" cy="15430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-1412240</wp:posOffset>
            </wp:positionV>
            <wp:extent cx="7132320" cy="1543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-1103630</wp:posOffset>
            </wp:positionV>
            <wp:extent cx="7132320" cy="31686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316865"/>
                    </a:xfrm>
                    <a:prstGeom prst="rect">
                      <a:avLst/>
                    </a:prstGeom>
                    <a:noFill/>
                  </pic:spPr>
                </pic:pic>
              </a:graphicData>
            </a:graphic>
          </wp:anchor>
        </w:drawing>
        <w:drawing>
          <wp:anchor simplePos="0" relativeHeight="251657728" behindDoc="1" locked="0" layoutInCell="0" allowOverlap="1">
            <wp:simplePos x="0" y="0"/>
            <wp:positionH relativeFrom="column">
              <wp:posOffset>3549650</wp:posOffset>
            </wp:positionH>
            <wp:positionV relativeFrom="paragraph">
              <wp:posOffset>-187960</wp:posOffset>
            </wp:positionV>
            <wp:extent cx="68580" cy="18859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4234815</wp:posOffset>
            </wp:positionH>
            <wp:positionV relativeFrom="paragraph">
              <wp:posOffset>-187960</wp:posOffset>
            </wp:positionV>
            <wp:extent cx="68580" cy="18859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4988560</wp:posOffset>
            </wp:positionH>
            <wp:positionV relativeFrom="paragraph">
              <wp:posOffset>-187960</wp:posOffset>
            </wp:positionV>
            <wp:extent cx="59690" cy="18859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5716270</wp:posOffset>
            </wp:positionH>
            <wp:positionV relativeFrom="paragraph">
              <wp:posOffset>-187960</wp:posOffset>
            </wp:positionV>
            <wp:extent cx="59690" cy="18859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-187960</wp:posOffset>
            </wp:positionV>
            <wp:extent cx="128270" cy="18859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8270" cy="188595"/>
                    </a:xfrm>
                    <a:prstGeom prst="rect">
                      <a:avLst/>
                    </a:prstGeom>
                    <a:noFill/>
                  </pic:spPr>
                </pic:pic>
              </a:graphicData>
            </a:graphic>
          </wp:anchor>
        </w:drawing>
      </w:r>
    </w:p>
    <w:p>
      <w:pPr>
        <w:spacing w:after="0" w:line="39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449" w:right="27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i w:val="1"/>
          <w:iCs w:val="1"/>
          <w:color w:val="auto"/>
        </w:rPr>
        <w:t>US Treasury Loan</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July 7, 2020, the Company and certain of its subsidiaries, as guarantors (the “Term Guarantors”), entered into the UST Tranche A Term Loan Credit Agreement (the “Tranche A UST Credit Agreement”) with The Bank of New York Mellon, as administrative agent and collateral agent and the UST Tranche B Term Loan Credit Agreement (the “Tranche B UST Credit Agreement” and together with the Tranche A UST Credit Agreement, the “UST Credit Agreements”) with The Bank of New York Mellon, as administrative agent and collateral agent, pursuant to which the United States Treasury (“UST”) committed to an aggregate of $700.0 million to the Company pursuant to the CARES Act. The obligations of the Company under the UST Credit Agreements are unconditionally guaranteed by the Term Guarantors.</w:t>
      </w:r>
    </w:p>
    <w:p>
      <w:pPr>
        <w:spacing w:after="0" w:line="15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UST Credit Agreements have maturity dates of September 30, 2024, with a single payment at maturity of the outstanding balance. The Tranche A UST Credit Agreement consists of a $300.0 million term loan and bears interest at a rate of Eurodollar rate (subject to a floor of 1.0%) plus a margin of 3.5% per annum, consisting of 1.50% in cash and the remainder paid-in-kind. Proceeds from the Tranche A UST Credit Agreement were used to meet the Company’s contractual obligations and maintain working capital. The Tranche B UST Credit Agreement consists of a $400.0 million term loan and bears interest at a rate of Eurodollar rate (subject to a floor of 1.0%) plus a margin of 3.5% per annum, paid in cash. Proceeds from the Tranche B UST Credit Agreement were used predominantly for the acquisition of tractors and trailers. Obligations under the UST Credit Agreements are secured by a perfected first priority security interest in the escrow or controlled account supporting the respective UST Credit Facility, certain tractors and trailers (in the case of the Tranche B UST Credit Agreement) and a perfected junior priority security interest (subject in each case to permitted liens) in substantially all other assets of the Company and the Term Guarantors, subject to certain exceptions.</w:t>
      </w:r>
    </w:p>
    <w:p>
      <w:pPr>
        <w:spacing w:after="0" w:line="13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UST Credit Agreements were funded through a series of draws made over time as the proceeds are utilized for the purposes outlined by the agreements. Funds drawn on the UST Credit Agreements we initially segregated into restricted accounts and those funds were included in “Restricted amounts held in escrow” in the December 31, 2020 consolidated balance sheet. As of December 31, 2021 and 2022 amounts had been fully withdrawn from the UST Credit Agreements. Borrowings are subject to the various requirements stated in the UST Credit Agreements.</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issued 15,943,753 shares of common stock as consideration related to the UST Credit Agreements, which has impacted both the capital surplus and common stock, for the par value per share. Accordingly, the fair value of those shares at issuance of approximately $46.7 million has been recorded as a commitment fee reducing the par value of debt as of December 31, 2022 and 2021 and is being amortized into interest expense on a straight-line basis over the term of the availability of the UST funds, which ends on September 30, 2024.</w:t>
      </w:r>
    </w:p>
    <w:p>
      <w:pPr>
        <w:spacing w:after="0" w:line="14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a result of entering into the UST Credit Agreements, the Company incurred $12.2 million in debt issuance costs for the origination, legal and related fees. The debt issuance costs reduces the par value of the debt and is being amortized into interest expense on a straight-line basis over the term of the UST funds, which ends September 30, 2024.</w:t>
      </w:r>
    </w:p>
    <w:p>
      <w:pPr>
        <w:spacing w:after="0" w:line="14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the UST Credit Agreements and Term Loan (discussed below), the Company has a quarterly requirement to maintain a minimum trailing-twelve-month ("TTM") Adjusted EBITDA of $200.0 million through the maturity of these agreements. Management expects, based on actual and forecasted operating results, the Company will meet this covenant requirement for the next twelve months.</w:t>
      </w:r>
    </w:p>
    <w:p>
      <w:pPr>
        <w:spacing w:after="0" w:line="15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Adjusted EBITDA, defined in our UST Credit Agreements and the Term Loan Agreement (defined below), as amended, (collectively, the “TL Agreements”) as “Consolidated EBITDA,” is a measure that reflects our earnings before interest, taxes, depreciation, and amortization expense, and is further adjusted for, among other things, letter of credit fees, equity-based compensation expense, net gains or losses on property disposals, restructuring charges, transaction costs related to issuances of debt, non-recurring consulting fees, non-cash impairment charges, integration costs, severance, non-recurring charges, the gains or losses from permitted dispositions, discontinued operations, and certain non-cash expenses, charges and losses (provided that if any of such non-cash expenses, charges or losses represents an accrual or reserve for potential cash items in any future period, the cash payment in respect thereof in such future period will be subtracted from Adjusted EBITDA in such future period to the extent paid). Certain expenses that qualify as adjustments are capped at 10.0% of the trailing-twelve-month Adjusted EBITDA, in aggregate. Adjustments subject to the 10.0% cap include, but are not limited to, restructuring charges, integration costs, severance, and non-recurring charges. Additionally, all net gains from the disposition of properties are excluded from the definition of Adjusted EBITDA. Therefore any gains previously recognized in Adjusted EBITDA, as that term was previously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3" w:name="page54"/>
    <w:bookmarkEnd w:id="53"/>
    <w:p>
      <w:pPr>
        <w:jc w:val="both"/>
        <w:spacing w:after="0" w:line="277" w:lineRule="auto"/>
        <w:rPr>
          <w:sz w:val="20"/>
          <w:szCs w:val="20"/>
          <w:color w:val="auto"/>
        </w:rPr>
      </w:pPr>
      <w:r>
        <w:rPr>
          <w:rFonts w:ascii="Arial" w:cs="Arial" w:eastAsia="Arial" w:hAnsi="Arial"/>
          <w:sz w:val="18"/>
          <w:szCs w:val="18"/>
          <w:color w:val="auto"/>
        </w:rPr>
        <w:t>defined in our filings with the Securities and Exchange Commission (the “SEC”), in accordance with its definition in the Prior Term Loan Agreement, will not be included in the calculation of Adjusted EBITDA under the TL Agreements.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September 11, 2019, the Company and certain of its subsidiaries, as guarantors (the “Term Guarantors”), amended and restated the existing credit facilities under the credit agreement dated February 13, 2014 (the “Prior Term Loan Agreement”) and entered into a $600.0 million term loan agreement (“Term Loan”) with funds managed by Apollo Global Management, LLC acting collectively as lead lender, and Alter Domus, as administrative agent and collateral agent. The obligations of the Company under the agreement governing (the “Term Loan Agreement”) are unconditionally guaranteed by the Term Guarantors.</w:t>
      </w:r>
    </w:p>
    <w:p>
      <w:pPr>
        <w:spacing w:after="0" w:line="19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Term Loan has a maturity date of June 30, 2024, with a single payment due at maturity of the outstanding balance. The Term Loan initially bore interest at Eurodollar rate (subject to a floor of 1.0%) plus a margin of 7.5% per annum, payable at least quarterly in cash, subject to a 1.0% margin step down in the event the Company achieves greater than $400.0 million in trailing-twelve-month Adjusted EBITDA. Obligations under the Term Loan are secured by a perfected first priority security interest in (subject to permitted liens) assets of the Company and the Term Guarantors, including but not limited to all of the Company’s wholly owned terminals, tractors and trailers, subject to certain limited exceptions.</w:t>
      </w:r>
    </w:p>
    <w:p>
      <w:pPr>
        <w:spacing w:after="0" w:line="17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April 7, 2020, the Company and certain of its subsidiaries entered into Amendment No. 1 (the “First Term Loan Amendment”) to the Term Loan Agreement as a result of expected future covenant and liquidity tightening due to unprecedented economic deterioration. Beginning the last two weeks of March 2020, our industry and the economy at-large experienced an unexpected and significant decline in economic activity due to the impact of the 2019 coronavirus disease (“COVID-19”) and the resulting business shutdown and shelter-in-place orders made across North America by various governmental entities and private enterprises. The First Term Loan Amendment principally provided additional liquidity allowing the Company to defer quarterly interest payments for the quarter ended March 31, 2020 and the quarter ending June 30, 2020 with almost all of such interest to be paid-in-kind. The First Term Loan Amendment also provided for a waiver with respect to the Adjusted EBITDA financial covenant during each fiscal quarter during the fiscal year ending December 31, 2020. The interest rate was retroactively reset to a fixed 14% during the first six months of 2020.</w:t>
      </w:r>
    </w:p>
    <w:p>
      <w:pPr>
        <w:spacing w:after="0" w:line="1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July 7, 2020, the Company and the Term Guarantors entered into Amendment No. 2 (the “Second Term Loan Amendment”) to the Term Loan Agreement. The material terms of the Second Term Loan Amendment include, among other things, a consent to the refinancing and conforming changes to the description of collateral set forth in the UST Credit Agreements, permanently capitalizing previously paid-in-kind interest on borrowings under the Term Loan Agreement, and that all future interest shall accrue at Eurodollar rate plus a margin of 7.5% per annum and 6.5% per annum in the case of alternative base rate borrowings paid in cash. Additionally, the Company is subject to certain financial covenant requirements identical to those of the UST credit agreements.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ABL Facility</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13, 2014, we entered into our $450 million asset-based loan facility (the “ABL Facility”) from a syndicate of banks arranged by Citizens Bank N.A. (formerly known as RBS Citizens, N.A.) (the “ABL Agent”), Merrill Lynch, Pierce, Fenner &amp; Smith and CIT Finance LLC. The Company and our subsidiaries, YRC Freight, Reddaway, Holland and New Penn are borrowers under the ABL Facility, and certain of the Company’s domestic subsidiaries are guarantors thereunder.</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Availability under the ABL Facility is derived by reducing the amount that may be advanced against eligible receivables plus eligible borrowing base cash by certain reserves imposed by the ABL Agent and our outstanding letters of credit and revolving loans. Eligible borrowing base cash is cash that is deposited from time to time into a segregated restricted account and is included in “Restricted amounts held in escrow” in the accompanying consolidated balance sheet.</w:t>
      </w:r>
    </w:p>
    <w:p>
      <w:pPr>
        <w:spacing w:after="0" w:line="14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At our option, borrowings under the ABL Facility bear interest at either: (i) the applicable USD LIBOR rate plus 2.25%, as amended, or (ii) the base rate (as defined in the ABL Facility) plus 1.25%, as amended. Letter of credit fees equal to the applicable USD LIBOR margin in effect, 2.25% as amended, are charged quarterly in arrears on the average daily stated amount of all letters of credit outstanding during the quarter. Unused line fees are charged quarterly in arrears (such unused line fee percentage is equal to 0.375% per annum if the average revolver usage is less than 50% or 0.25% per annum if the average revolver usage is greater than 50%).</w:t>
      </w:r>
    </w:p>
    <w:p>
      <w:pPr>
        <w:spacing w:after="0" w:line="15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ABL Facility is secured by a perfected first priority security interest (subject to permitted liens) in accounts receivable, cash, deposit accounts and other assets related to accounts receivable of the Company and the other loan parties and an additional second priority security interest (subject to permitted liens) in substantially all remaining assets of the borrowers and the guarantors other than the CDA collateral.</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4" w:name="page55"/>
    <w:bookmarkEnd w:id="54"/>
    <w:p>
      <w:pPr>
        <w:jc w:val="both"/>
        <w:spacing w:after="0" w:line="256" w:lineRule="auto"/>
        <w:rPr>
          <w:sz w:val="20"/>
          <w:szCs w:val="20"/>
          <w:color w:val="auto"/>
        </w:rPr>
      </w:pPr>
      <w:r>
        <w:rPr>
          <w:rFonts w:ascii="Arial" w:cs="Arial" w:eastAsia="Arial" w:hAnsi="Arial"/>
          <w:sz w:val="18"/>
          <w:szCs w:val="18"/>
          <w:color w:val="auto"/>
        </w:rPr>
        <w:t>The ABL Facility contains conditions, representations and warranties, events of default and indemnification provisions that are customary for financings of this type, including, but not limited to, a springing minimum fixed charge coverage ratio covenant, borrowing base reporting, limitations on incurrence of debt, investments, liens on assets, certain sale and leaseback transactions, transactions with affiliates, mergers, consolidations, purchases and sales of assets, and restricted payments. Certain provisions relating to investments, restricted payments and capital expenditures are relaxed upon meeting specified payment conditions or debt repayment conditions.</w:t>
      </w:r>
    </w:p>
    <w:p>
      <w:pPr>
        <w:spacing w:after="0" w:line="19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October 31, 2022, the Company and certain of its subsidiaries entered into Amendment No. 7 (the "ABL Treasury Amendment") in which the maturity date of the ABL Facility was extended to January 9, 2026 and it included a springing maturity commencing thirty days prior to the maturity of any of the Term Debt, the UST Tranche A Facility Indebtedness, or the UST Tranche B Facility Indebtedness. The amended facility has an increased capacity of $50 million up to $500 million and an interest rate of Secured Overnight Financing Rate ("SOFR") + 1.75%.</w:t>
      </w:r>
    </w:p>
    <w:p>
      <w:pPr>
        <w:spacing w:after="0" w:line="14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of December 31, 2022, our Availability under our ABL Facility was $47.7 million, and our Managed Accessibility was $6.7 million. Availability is derived by reducing the amount that may be advanced against eligible receivables plus eligible borrowing base cash by certain reserves imposed by the ABL Agent and our $361.8 million of outstanding letters of credit. Our Managed Accessibility represents the maximum amount we would access on the ABL Facility and is adjusted for eligible receivables plus eligible borrowing base cash measured as of December 31, 2022. If eligible receivables fall below the threshold management uses to measure availability, which is 10% of the borrowing line, the Credit Agreement governing the ABL Facility permits adjustments from eligible borrowing base cash to restricted cash prior to the applicable compliance measurement date, which for the year-end 2022 is as of January 13, 2023. Cash and cash equivalents and Managed Accessibility was $241.8 million as of December 31, 2022.</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2021, our Availability under our ABL Facility was $93.1 million, and our Managed Accessibility was $48.1 million. Cash and cash equivalents and Managed Accessibility was $358.8 million as of December 31, 2021.</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cash and cash equivalents and Managed Accessibility at December 31: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236"/>
        </w:trPr>
        <w:tc>
          <w:tcPr>
            <w:tcW w:w="7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FF0FC"/>
          </w:tcPr>
          <w:p>
            <w:pPr>
              <w:spacing w:after="0"/>
              <w:rPr>
                <w:sz w:val="20"/>
                <w:szCs w:val="20"/>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235.1</w:t>
            </w:r>
          </w:p>
        </w:tc>
        <w:tc>
          <w:tcPr>
            <w:tcW w:w="280" w:type="dxa"/>
            <w:vAlign w:val="bottom"/>
            <w:shd w:val="clear" w:color="auto" w:fill="CFF0FC"/>
          </w:tcPr>
          <w:p>
            <w:pPr>
              <w:spacing w:after="0"/>
              <w:rPr>
                <w:sz w:val="20"/>
                <w:szCs w:val="20"/>
                <w:color w:val="auto"/>
              </w:rPr>
            </w:pP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310.7</w:t>
            </w:r>
          </w:p>
        </w:tc>
        <w:tc>
          <w:tcPr>
            <w:tcW w:w="100" w:type="dxa"/>
            <w:vAlign w:val="bottom"/>
            <w:shd w:val="clear" w:color="auto" w:fill="CFF0FC"/>
          </w:tcPr>
          <w:p>
            <w:pPr>
              <w:spacing w:after="0"/>
              <w:rPr>
                <w:sz w:val="20"/>
                <w:szCs w:val="20"/>
                <w:color w:val="auto"/>
              </w:rPr>
            </w:pPr>
          </w:p>
        </w:tc>
      </w:tr>
      <w:tr>
        <w:trPr>
          <w:trHeight w:val="236"/>
        </w:trPr>
        <w:tc>
          <w:tcPr>
            <w:tcW w:w="7500" w:type="dxa"/>
            <w:vAlign w:val="bottom"/>
          </w:tcPr>
          <w:p>
            <w:pPr>
              <w:ind w:left="20"/>
              <w:spacing w:after="0"/>
              <w:rPr>
                <w:sz w:val="20"/>
                <w:szCs w:val="20"/>
                <w:color w:val="auto"/>
              </w:rPr>
            </w:pPr>
            <w:r>
              <w:rPr>
                <w:rFonts w:ascii="Arial" w:cs="Arial" w:eastAsia="Arial" w:hAnsi="Arial"/>
                <w:sz w:val="18"/>
                <w:szCs w:val="18"/>
                <w:color w:val="auto"/>
              </w:rPr>
              <w:t>Less: amounts placed into restricted cash subsequent to year-end</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3"/>
        </w:trPr>
        <w:tc>
          <w:tcPr>
            <w:tcW w:w="7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Managed Accessibility</w:t>
            </w:r>
          </w:p>
        </w:tc>
        <w:tc>
          <w:tcPr>
            <w:tcW w:w="2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2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500" w:type="dxa"/>
            <w:vAlign w:val="bottom"/>
          </w:tcPr>
          <w:p>
            <w:pPr>
              <w:ind w:left="20"/>
              <w:spacing w:after="0"/>
              <w:rPr>
                <w:sz w:val="20"/>
                <w:szCs w:val="20"/>
                <w:color w:val="auto"/>
              </w:rPr>
            </w:pPr>
            <w:r>
              <w:rPr>
                <w:rFonts w:ascii="Arial" w:cs="Arial" w:eastAsia="Arial" w:hAnsi="Arial"/>
                <w:sz w:val="18"/>
                <w:szCs w:val="18"/>
                <w:color w:val="auto"/>
              </w:rPr>
              <w:t>Total cash and cash equivalents and Managed Accessibility</w:t>
            </w:r>
          </w:p>
        </w:tc>
        <w:tc>
          <w:tcPr>
            <w:tcW w:w="5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241.8</w:t>
            </w:r>
          </w:p>
        </w:tc>
        <w:tc>
          <w:tcPr>
            <w:tcW w:w="6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358.8</w:t>
            </w:r>
          </w:p>
        </w:tc>
        <w:tc>
          <w:tcPr>
            <w:tcW w:w="100" w:type="dxa"/>
            <w:vAlign w:val="bottom"/>
          </w:tcPr>
          <w:p>
            <w:pPr>
              <w:spacing w:after="0"/>
              <w:rPr>
                <w:sz w:val="20"/>
                <w:szCs w:val="20"/>
                <w:color w:val="auto"/>
              </w:rPr>
            </w:pPr>
          </w:p>
        </w:tc>
      </w:tr>
      <w:tr>
        <w:trPr>
          <w:trHeight w:val="20"/>
        </w:trPr>
        <w:tc>
          <w:tcPr>
            <w:tcW w:w="7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-187960</wp:posOffset>
            </wp:positionV>
            <wp:extent cx="68580" cy="18859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Amended and Restated Contribution Deferral Agreement</w:t>
      </w:r>
    </w:p>
    <w:p>
      <w:pPr>
        <w:spacing w:after="0" w:line="18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Pursuant to the terms of the collective bargaining agreement with the IBT, the Company’s subsidiaries began making contributions to the Funds (defined below) for the month beginning June 1, 2011 at the rate of 25% of the contribution rate in effect on July 1, 2009. Certain of our subsidiaries are parties to the Amended and Restated Contribution Deferral Agreement (the “A&amp;R CDA”) with certain multiemployer pension funds named therein (collectively, the “Funds”) pursuant to which we are permitted to continue to defer pension payments and deferred interest owed to such Funds as of July 22, 2011 (each, “Deferred Pension Payments” and “Deferred Interest”). The A&amp;R CDA was last amended in January 2018 (herein referred to as the “Amended Second A&amp;R CDA”). The Deferred Pension Payments and Deferred Interest bear interest at a floating rate as set forth in the Amended Second A&amp;R CDA as well as annual scheduled amortization equal to 2.0% of the amount outstanding as of November 30 of each applicable year. The Amended Second A&amp;R CDA further provides for first lien on certain security first priority real estate collateral and a maturity date of December 31, 2022 on the Deferred Pension Payments and Deferred Interest obligations.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On January 3, 2023, the outstanding balance of the A&amp;R CDA was paid in full, and in compliance with the terms of the agreement.</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i w:val="1"/>
          <w:iCs w:val="1"/>
          <w:color w:val="auto"/>
        </w:rPr>
        <w:t>Maturities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principal maturities over the next five years and thereafter of total debt as of December 31, 2022 was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60" w:type="dxa"/>
            <w:vAlign w:val="bottom"/>
          </w:tcPr>
          <w:p>
            <w:pPr>
              <w:spacing w:after="0"/>
              <w:rPr>
                <w:sz w:val="14"/>
                <w:szCs w:val="14"/>
                <w:color w:val="auto"/>
              </w:rPr>
            </w:pPr>
          </w:p>
        </w:tc>
        <w:tc>
          <w:tcPr>
            <w:tcW w:w="1180" w:type="dxa"/>
            <w:vAlign w:val="bottom"/>
            <w:gridSpan w:val="2"/>
            <w:vMerge w:val="restart"/>
          </w:tcPr>
          <w:p>
            <w:pPr>
              <w:jc w:val="right"/>
              <w:ind w:right="176"/>
              <w:spacing w:after="0"/>
              <w:rPr>
                <w:sz w:val="20"/>
                <w:szCs w:val="20"/>
                <w:color w:val="auto"/>
              </w:rPr>
            </w:pPr>
            <w:r>
              <w:rPr>
                <w:rFonts w:ascii="Arial" w:cs="Arial" w:eastAsia="Arial" w:hAnsi="Arial"/>
                <w:sz w:val="14"/>
                <w:szCs w:val="14"/>
                <w:b w:val="1"/>
                <w:bCs w:val="1"/>
                <w:color w:val="auto"/>
              </w:rPr>
              <w:t>UST Tranche</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w w:val="91"/>
              </w:rPr>
              <w:t>Second A&amp;R</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right="214"/>
              <w:spacing w:after="0"/>
              <w:rPr>
                <w:sz w:val="20"/>
                <w:szCs w:val="20"/>
                <w:color w:val="auto"/>
              </w:rPr>
            </w:pPr>
            <w:r>
              <w:rPr>
                <w:rFonts w:ascii="Arial" w:cs="Arial" w:eastAsia="Arial" w:hAnsi="Arial"/>
                <w:sz w:val="14"/>
                <w:szCs w:val="14"/>
                <w:b w:val="1"/>
                <w:bCs w:val="1"/>
                <w:color w:val="auto"/>
                <w:w w:val="90"/>
              </w:rPr>
              <w:t>Lease</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1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UST Tranche B</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Term Loan</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ABL Facility</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174"/>
              <w:spacing w:after="0" w:line="144" w:lineRule="exact"/>
              <w:rPr>
                <w:sz w:val="20"/>
                <w:szCs w:val="20"/>
                <w:color w:val="auto"/>
              </w:rPr>
            </w:pPr>
            <w:r>
              <w:rPr>
                <w:rFonts w:ascii="Arial" w:cs="Arial" w:eastAsia="Arial" w:hAnsi="Arial"/>
                <w:sz w:val="14"/>
                <w:szCs w:val="14"/>
                <w:b w:val="1"/>
                <w:bCs w:val="1"/>
                <w:color w:val="auto"/>
                <w:w w:val="90"/>
              </w:rPr>
              <w:t>Financing</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206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6"/>
              <w:spacing w:after="0" w:line="189" w:lineRule="exact"/>
              <w:rPr>
                <w:sz w:val="20"/>
                <w:szCs w:val="20"/>
                <w:color w:val="auto"/>
              </w:rPr>
            </w:pPr>
            <w:r>
              <w:rPr>
                <w:rFonts w:ascii="Arial" w:cs="Arial" w:eastAsia="Arial" w:hAnsi="Arial"/>
                <w:sz w:val="21"/>
                <w:szCs w:val="21"/>
                <w:b w:val="1"/>
                <w:bCs w:val="1"/>
                <w:color w:val="auto"/>
                <w:vertAlign w:val="subscript"/>
              </w:rPr>
              <w:t>A</w:t>
            </w:r>
            <w:r>
              <w:rPr>
                <w:rFonts w:ascii="Arial" w:cs="Arial" w:eastAsia="Arial" w:hAnsi="Arial"/>
                <w:sz w:val="8"/>
                <w:szCs w:val="8"/>
                <w:b w:val="1"/>
                <w:bCs w:val="1"/>
                <w:color w:val="auto"/>
              </w:rPr>
              <w:t>(a)</w:t>
            </w:r>
          </w:p>
        </w:tc>
        <w:tc>
          <w:tcPr>
            <w:tcW w:w="120" w:type="dxa"/>
            <w:vAlign w:val="bottom"/>
          </w:tcPr>
          <w:p>
            <w:pPr>
              <w:spacing w:after="0"/>
              <w:rPr>
                <w:sz w:val="16"/>
                <w:szCs w:val="16"/>
                <w:color w:val="auto"/>
              </w:rPr>
            </w:pPr>
          </w:p>
        </w:tc>
        <w:tc>
          <w:tcPr>
            <w:tcW w:w="11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CDA</w:t>
            </w: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14"/>
              <w:spacing w:after="0" w:line="189" w:lineRule="exact"/>
              <w:rPr>
                <w:sz w:val="20"/>
                <w:szCs w:val="20"/>
                <w:color w:val="auto"/>
              </w:rPr>
            </w:pPr>
            <w:r>
              <w:rPr>
                <w:rFonts w:ascii="Arial" w:cs="Arial" w:eastAsia="Arial" w:hAnsi="Arial"/>
                <w:sz w:val="14"/>
                <w:szCs w:val="14"/>
                <w:b w:val="1"/>
                <w:bCs w:val="1"/>
                <w:color w:val="auto"/>
                <w:w w:val="90"/>
              </w:rPr>
              <w:t>Obligations</w:t>
            </w:r>
            <w:r>
              <w:rPr>
                <w:rFonts w:ascii="Arial" w:cs="Arial" w:eastAsia="Arial" w:hAnsi="Arial"/>
                <w:sz w:val="19"/>
                <w:szCs w:val="19"/>
                <w:b w:val="1"/>
                <w:bCs w:val="1"/>
                <w:color w:val="auto"/>
                <w:w w:val="90"/>
                <w:vertAlign w:val="superscript"/>
              </w:rPr>
              <w:t>(b)</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260" w:type="dxa"/>
            <w:vAlign w:val="bottom"/>
            <w:shd w:val="clear" w:color="auto" w:fill="CFF0FC"/>
          </w:tcPr>
          <w:p>
            <w:pPr>
              <w:jc w:val="right"/>
              <w:ind w:right="76"/>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ind w:left="9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66.0</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5.8</w:t>
            </w:r>
          </w:p>
        </w:tc>
        <w:tc>
          <w:tcPr>
            <w:tcW w:w="3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36"/>
        </w:trPr>
        <w:tc>
          <w:tcPr>
            <w:tcW w:w="2060" w:type="dxa"/>
            <w:vAlign w:val="bottom"/>
          </w:tcPr>
          <w:p>
            <w:pPr>
              <w:ind w:left="20"/>
              <w:spacing w:after="0"/>
              <w:rPr>
                <w:sz w:val="20"/>
                <w:szCs w:val="20"/>
                <w:color w:val="auto"/>
              </w:rPr>
            </w:pPr>
            <w:r>
              <w:rPr>
                <w:rFonts w:ascii="Arial" w:cs="Arial" w:eastAsia="Arial" w:hAnsi="Arial"/>
                <w:sz w:val="18"/>
                <w:szCs w:val="18"/>
                <w:color w:val="auto"/>
              </w:rPr>
              <w:t>2024</w:t>
            </w:r>
          </w:p>
        </w:tc>
        <w:tc>
          <w:tcPr>
            <w:tcW w:w="260" w:type="dxa"/>
            <w:vAlign w:val="bottom"/>
          </w:tcPr>
          <w:p>
            <w:pPr>
              <w:spacing w:after="0"/>
              <w:rPr>
                <w:sz w:val="20"/>
                <w:szCs w:val="20"/>
                <w:color w:val="auto"/>
              </w:rPr>
            </w:pPr>
          </w:p>
        </w:tc>
        <w:tc>
          <w:tcPr>
            <w:tcW w:w="920" w:type="dxa"/>
            <w:vAlign w:val="bottom"/>
          </w:tcPr>
          <w:p>
            <w:pPr>
              <w:jc w:val="right"/>
              <w:ind w:right="56"/>
              <w:spacing w:after="0"/>
              <w:rPr>
                <w:sz w:val="20"/>
                <w:szCs w:val="20"/>
                <w:color w:val="auto"/>
              </w:rPr>
            </w:pPr>
            <w:r>
              <w:rPr>
                <w:rFonts w:ascii="Arial" w:cs="Arial" w:eastAsia="Arial" w:hAnsi="Arial"/>
                <w:sz w:val="18"/>
                <w:szCs w:val="18"/>
                <w:color w:val="auto"/>
              </w:rPr>
              <w:t>325.7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400.0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569.1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ind w:left="9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1,299.2</w:t>
            </w:r>
          </w:p>
        </w:tc>
        <w:tc>
          <w:tcPr>
            <w:tcW w:w="0" w:type="dxa"/>
            <w:vAlign w:val="bottom"/>
          </w:tcPr>
          <w:p>
            <w:pPr>
              <w:spacing w:after="0"/>
              <w:rPr>
                <w:sz w:val="1"/>
                <w:szCs w:val="1"/>
                <w:color w:val="auto"/>
              </w:rPr>
            </w:pPr>
          </w:p>
        </w:tc>
      </w:tr>
      <w:tr>
        <w:trPr>
          <w:trHeight w:val="249"/>
        </w:trPr>
        <w:tc>
          <w:tcPr>
            <w:tcW w:w="2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0" w:type="dxa"/>
            <w:vAlign w:val="bottom"/>
            <w:shd w:val="clear" w:color="auto" w:fill="CFF0FC"/>
          </w:tcPr>
          <w:p>
            <w:pPr>
              <w:ind w:left="9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6"/>
        </w:trPr>
        <w:tc>
          <w:tcPr>
            <w:tcW w:w="2060" w:type="dxa"/>
            <w:vAlign w:val="bottom"/>
          </w:tcPr>
          <w:p>
            <w:pPr>
              <w:ind w:left="20"/>
              <w:spacing w:after="0"/>
              <w:rPr>
                <w:sz w:val="20"/>
                <w:szCs w:val="20"/>
                <w:color w:val="auto"/>
              </w:rPr>
            </w:pPr>
            <w:r>
              <w:rPr>
                <w:rFonts w:ascii="Arial" w:cs="Arial" w:eastAsia="Arial" w:hAnsi="Arial"/>
                <w:sz w:val="18"/>
                <w:szCs w:val="18"/>
                <w:color w:val="auto"/>
              </w:rPr>
              <w:t>2026</w:t>
            </w:r>
          </w:p>
        </w:tc>
        <w:tc>
          <w:tcPr>
            <w:tcW w:w="260" w:type="dxa"/>
            <w:vAlign w:val="bottom"/>
          </w:tcPr>
          <w:p>
            <w:pPr>
              <w:spacing w:after="0"/>
              <w:rPr>
                <w:sz w:val="20"/>
                <w:szCs w:val="20"/>
                <w:color w:val="auto"/>
              </w:rPr>
            </w:pPr>
          </w:p>
        </w:tc>
        <w:tc>
          <w:tcPr>
            <w:tcW w:w="92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ind w:left="9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49"/>
        </w:trPr>
        <w:tc>
          <w:tcPr>
            <w:tcW w:w="2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2027</w:t>
            </w: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0" w:type="dxa"/>
            <w:vAlign w:val="bottom"/>
            <w:shd w:val="clear" w:color="auto" w:fill="CFF0FC"/>
          </w:tcPr>
          <w:p>
            <w:pPr>
              <w:ind w:left="9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206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199.0</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199.0</w:t>
            </w:r>
          </w:p>
        </w:tc>
        <w:tc>
          <w:tcPr>
            <w:tcW w:w="0" w:type="dxa"/>
            <w:vAlign w:val="bottom"/>
          </w:tcPr>
          <w:p>
            <w:pPr>
              <w:spacing w:after="0"/>
              <w:rPr>
                <w:sz w:val="1"/>
                <w:szCs w:val="1"/>
                <w:color w:val="auto"/>
              </w:rPr>
            </w:pPr>
          </w:p>
        </w:tc>
      </w:tr>
      <w:tr>
        <w:trPr>
          <w:trHeight w:val="276"/>
        </w:trPr>
        <w:tc>
          <w:tcPr>
            <w:tcW w:w="2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FF0FC"/>
          </w:tcPr>
          <w:p>
            <w:pPr>
              <w:jc w:val="right"/>
              <w:ind w:right="76"/>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rPr>
              <w:t>325.7</w:t>
            </w:r>
          </w:p>
        </w:tc>
        <w:tc>
          <w:tcPr>
            <w:tcW w:w="12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400.0</w:t>
            </w:r>
          </w:p>
        </w:tc>
        <w:tc>
          <w:tcPr>
            <w:tcW w:w="1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569.1</w:t>
            </w:r>
          </w:p>
        </w:tc>
        <w:tc>
          <w:tcPr>
            <w:tcW w:w="1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ind w:left="9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66.0</w:t>
            </w:r>
          </w:p>
        </w:tc>
        <w:tc>
          <w:tcPr>
            <w:tcW w:w="1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213.9</w:t>
            </w:r>
          </w:p>
        </w:tc>
        <w:tc>
          <w:tcPr>
            <w:tcW w:w="1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1,574.7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2051685</wp:posOffset>
            </wp:positionH>
            <wp:positionV relativeFrom="paragraph">
              <wp:posOffset>-24765</wp:posOffset>
            </wp:positionV>
            <wp:extent cx="7683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2051685</wp:posOffset>
            </wp:positionH>
            <wp:positionV relativeFrom="paragraph">
              <wp:posOffset>-7620</wp:posOffset>
            </wp:positionV>
            <wp:extent cx="7683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2873375</wp:posOffset>
            </wp:positionH>
            <wp:positionV relativeFrom="paragraph">
              <wp:posOffset>-24765</wp:posOffset>
            </wp:positionV>
            <wp:extent cx="7683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2873375</wp:posOffset>
            </wp:positionH>
            <wp:positionV relativeFrom="paragraph">
              <wp:posOffset>-7620</wp:posOffset>
            </wp:positionV>
            <wp:extent cx="7683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3832225</wp:posOffset>
            </wp:positionH>
            <wp:positionV relativeFrom="paragraph">
              <wp:posOffset>-24765</wp:posOffset>
            </wp:positionV>
            <wp:extent cx="7683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3832225</wp:posOffset>
            </wp:positionH>
            <wp:positionV relativeFrom="paragraph">
              <wp:posOffset>-7620</wp:posOffset>
            </wp:positionV>
            <wp:extent cx="7683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4774565</wp:posOffset>
            </wp:positionH>
            <wp:positionV relativeFrom="paragraph">
              <wp:posOffset>-24765</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4774565</wp:posOffset>
            </wp:positionH>
            <wp:positionV relativeFrom="paragraph">
              <wp:posOffset>-7620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-24765</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-7620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6350000</wp:posOffset>
            </wp:positionH>
            <wp:positionV relativeFrom="paragraph">
              <wp:posOffset>-24765</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6350000</wp:posOffset>
            </wp:positionH>
            <wp:positionV relativeFrom="paragraph">
              <wp:posOffset>-7620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ind w:left="380" w:hanging="372"/>
        <w:spacing w:after="0"/>
        <w:tabs>
          <w:tab w:leader="none" w:pos="3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 portion of the applicable interest is paid-in-kind, which may impact the relevant principal maturities prospectively.</w:t>
      </w:r>
    </w:p>
    <w:p>
      <w:pPr>
        <w:ind w:left="380" w:hanging="372"/>
        <w:spacing w:after="0"/>
        <w:tabs>
          <w:tab w:leader="none" w:pos="3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Lease financing obligations subsequent to 2027 of $199.0 million consist primarily of interest payments.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The book value and estimated fair values of our long-term debt, including current maturities and other financial instruments, are summarized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713"/>
              <w:spacing w:after="0"/>
              <w:rPr>
                <w:sz w:val="20"/>
                <w:szCs w:val="20"/>
                <w:color w:val="auto"/>
              </w:rPr>
            </w:pPr>
            <w:r>
              <w:rPr>
                <w:rFonts w:ascii="Arial" w:cs="Arial" w:eastAsia="Arial" w:hAnsi="Arial"/>
                <w:sz w:val="14"/>
                <w:szCs w:val="14"/>
                <w:b w:val="1"/>
                <w:bCs w:val="1"/>
                <w:color w:val="auto"/>
              </w:rPr>
              <w:t>December 31, 2022</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693"/>
              <w:spacing w:after="0"/>
              <w:rPr>
                <w:sz w:val="20"/>
                <w:szCs w:val="20"/>
                <w:color w:val="auto"/>
              </w:rPr>
            </w:pPr>
            <w:r>
              <w:rPr>
                <w:rFonts w:ascii="Arial" w:cs="Arial" w:eastAsia="Arial" w:hAnsi="Arial"/>
                <w:sz w:val="14"/>
                <w:szCs w:val="14"/>
                <w:b w:val="1"/>
                <w:bCs w:val="1"/>
                <w:color w:val="auto"/>
              </w:rPr>
              <w:t>December 31, 2021</w:t>
            </w:r>
          </w:p>
        </w:tc>
      </w:tr>
      <w:tr>
        <w:trPr>
          <w:trHeight w:val="169"/>
        </w:trPr>
        <w:tc>
          <w:tcPr>
            <w:tcW w:w="58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4"/>
                <w:szCs w:val="14"/>
                <w:color w:val="auto"/>
              </w:rPr>
            </w:pPr>
          </w:p>
        </w:tc>
        <w:tc>
          <w:tcPr>
            <w:tcW w:w="1100" w:type="dxa"/>
            <w:vAlign w:val="bottom"/>
          </w:tcPr>
          <w:p>
            <w:pPr>
              <w:jc w:val="right"/>
              <w:ind w:right="255"/>
              <w:spacing w:after="0"/>
              <w:rPr>
                <w:sz w:val="20"/>
                <w:szCs w:val="20"/>
                <w:color w:val="auto"/>
              </w:rPr>
            </w:pPr>
            <w:r>
              <w:rPr>
                <w:rFonts w:ascii="Arial" w:cs="Arial" w:eastAsia="Arial" w:hAnsi="Arial"/>
                <w:sz w:val="14"/>
                <w:szCs w:val="14"/>
                <w:b w:val="1"/>
                <w:bCs w:val="1"/>
                <w:color w:val="auto"/>
                <w:w w:val="96"/>
              </w:rPr>
              <w:t>Book Value</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273"/>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ind w:right="235"/>
              <w:spacing w:after="0"/>
              <w:rPr>
                <w:sz w:val="20"/>
                <w:szCs w:val="20"/>
                <w:color w:val="auto"/>
              </w:rPr>
            </w:pPr>
            <w:r>
              <w:rPr>
                <w:rFonts w:ascii="Arial" w:cs="Arial" w:eastAsia="Arial" w:hAnsi="Arial"/>
                <w:sz w:val="14"/>
                <w:szCs w:val="14"/>
                <w:b w:val="1"/>
                <w:bCs w:val="1"/>
                <w:color w:val="auto"/>
                <w:w w:val="96"/>
              </w:rPr>
              <w:t>Book Value</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ind w:right="273"/>
              <w:spacing w:after="0"/>
              <w:rPr>
                <w:sz w:val="20"/>
                <w:szCs w:val="20"/>
                <w:color w:val="auto"/>
              </w:rPr>
            </w:pPr>
            <w:r>
              <w:rPr>
                <w:rFonts w:ascii="Arial" w:cs="Arial" w:eastAsia="Arial" w:hAnsi="Arial"/>
                <w:sz w:val="14"/>
                <w:szCs w:val="14"/>
                <w:b w:val="1"/>
                <w:bCs w:val="1"/>
                <w:color w:val="auto"/>
              </w:rPr>
              <w:t>Fair Value</w:t>
            </w:r>
          </w:p>
        </w:tc>
      </w:tr>
      <w:tr>
        <w:trPr>
          <w:trHeight w:val="236"/>
        </w:trPr>
        <w:tc>
          <w:tcPr>
            <w:tcW w:w="56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UST Loans</w:t>
            </w:r>
          </w:p>
        </w:tc>
        <w:tc>
          <w:tcPr>
            <w:tcW w:w="1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701.4</w:t>
            </w:r>
          </w:p>
        </w:tc>
        <w:tc>
          <w:tcPr>
            <w:tcW w:w="3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703.6</w:t>
            </w:r>
          </w:p>
        </w:tc>
        <w:tc>
          <w:tcPr>
            <w:tcW w:w="2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673.3</w:t>
            </w:r>
          </w:p>
        </w:tc>
        <w:tc>
          <w:tcPr>
            <w:tcW w:w="3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636.5</w:t>
            </w:r>
          </w:p>
        </w:tc>
      </w:tr>
      <w:tr>
        <w:trPr>
          <w:trHeight w:val="236"/>
        </w:trPr>
        <w:tc>
          <w:tcPr>
            <w:tcW w:w="5820" w:type="dxa"/>
            <w:vAlign w:val="bottom"/>
            <w:gridSpan w:val="2"/>
          </w:tcPr>
          <w:p>
            <w:pPr>
              <w:ind w:left="20"/>
              <w:spacing w:after="0"/>
              <w:rPr>
                <w:sz w:val="20"/>
                <w:szCs w:val="20"/>
                <w:color w:val="auto"/>
              </w:rPr>
            </w:pPr>
            <w:r>
              <w:rPr>
                <w:rFonts w:ascii="Arial" w:cs="Arial" w:eastAsia="Arial" w:hAnsi="Arial"/>
                <w:sz w:val="18"/>
                <w:szCs w:val="18"/>
                <w:color w:val="auto"/>
              </w:rPr>
              <w:t>Term Loan</w:t>
            </w:r>
          </w:p>
        </w:tc>
        <w:tc>
          <w:tcPr>
            <w:tcW w:w="160" w:type="dxa"/>
            <w:vAlign w:val="bottom"/>
          </w:tcPr>
          <w:p>
            <w:pPr>
              <w:spacing w:after="0"/>
              <w:rPr>
                <w:sz w:val="20"/>
                <w:szCs w:val="20"/>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556.8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523.6</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590.9</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612.9</w:t>
            </w:r>
          </w:p>
        </w:tc>
      </w:tr>
      <w:tr>
        <w:trPr>
          <w:trHeight w:val="249"/>
        </w:trPr>
        <w:tc>
          <w:tcPr>
            <w:tcW w:w="58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Second A&amp;R CDA</w:t>
            </w:r>
          </w:p>
        </w:tc>
        <w:tc>
          <w:tcPr>
            <w:tcW w:w="16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66.0</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66.3</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66.5</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66.6</w:t>
            </w:r>
          </w:p>
        </w:tc>
      </w:tr>
      <w:tr>
        <w:trPr>
          <w:trHeight w:val="236"/>
        </w:trPr>
        <w:tc>
          <w:tcPr>
            <w:tcW w:w="5820" w:type="dxa"/>
            <w:vAlign w:val="bottom"/>
            <w:gridSpan w:val="2"/>
          </w:tcPr>
          <w:p>
            <w:pPr>
              <w:ind w:left="20"/>
              <w:spacing w:after="0"/>
              <w:rPr>
                <w:sz w:val="20"/>
                <w:szCs w:val="20"/>
                <w:color w:val="auto"/>
              </w:rPr>
            </w:pPr>
            <w:r>
              <w:rPr>
                <w:rFonts w:ascii="Arial" w:cs="Arial" w:eastAsia="Arial" w:hAnsi="Arial"/>
                <w:sz w:val="18"/>
                <w:szCs w:val="18"/>
                <w:color w:val="auto"/>
              </w:rPr>
              <w:t>Lease financing obligations</w:t>
            </w: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213.8</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213.7</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223.8</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223.7</w:t>
            </w:r>
          </w:p>
        </w:tc>
      </w:tr>
      <w:tr>
        <w:trPr>
          <w:trHeight w:val="276"/>
        </w:trPr>
        <w:tc>
          <w:tcPr>
            <w:tcW w:w="582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Total debt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1,538.0</w:t>
            </w:r>
          </w:p>
        </w:tc>
        <w:tc>
          <w:tcPr>
            <w:tcW w:w="1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1,507.2</w:t>
            </w:r>
          </w:p>
        </w:tc>
        <w:tc>
          <w:tcPr>
            <w:tcW w:w="1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1,554.5</w:t>
            </w:r>
          </w:p>
        </w:tc>
        <w:tc>
          <w:tcPr>
            <w:tcW w:w="1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1,539.7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4491990</wp:posOffset>
            </wp:positionH>
            <wp:positionV relativeFrom="paragraph">
              <wp:posOffset>-24765</wp:posOffset>
            </wp:positionV>
            <wp:extent cx="8572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4491990</wp:posOffset>
            </wp:positionH>
            <wp:positionV relativeFrom="paragraph">
              <wp:posOffset>-7620</wp:posOffset>
            </wp:positionV>
            <wp:extent cx="8572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5382260</wp:posOffset>
            </wp:positionH>
            <wp:positionV relativeFrom="paragraph">
              <wp:posOffset>-24765</wp:posOffset>
            </wp:positionV>
            <wp:extent cx="8572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5382260</wp:posOffset>
            </wp:positionH>
            <wp:positionV relativeFrom="paragraph">
              <wp:posOffset>-7620</wp:posOffset>
            </wp:positionV>
            <wp:extent cx="8572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6247130</wp:posOffset>
            </wp:positionH>
            <wp:positionV relativeFrom="paragraph">
              <wp:posOffset>-24765</wp:posOffset>
            </wp:positionV>
            <wp:extent cx="8572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6247130</wp:posOffset>
            </wp:positionH>
            <wp:positionV relativeFrom="paragraph">
              <wp:posOffset>-7620</wp:posOffset>
            </wp:positionV>
            <wp:extent cx="8572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8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fair values of the Term Loan and Second A&amp;R CDA were estimated based on thinly traded, but observable prices (level two inputs for fair value measurements). The fair value of the UST Loans is estimated using certain inputs that are unobservable (level three input for fair value measurement), which are based on the discounted amount of future cash flows using our current estimated incremental rate of borrowing for similar liabilities or assets. The fair value of the lease financing obligations are estimated using a publicly traded secured loan with similar characteristics (level three input for fair value measurement).</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6. Leases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Leases (in millions)</w:t>
            </w:r>
          </w:p>
        </w:tc>
        <w:tc>
          <w:tcPr>
            <w:tcW w:w="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w w:val="96"/>
              </w:rPr>
              <w:t>December 31, 2022</w:t>
            </w:r>
          </w:p>
        </w:tc>
        <w:tc>
          <w:tcPr>
            <w:tcW w:w="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w w:val="96"/>
              </w:rPr>
              <w:t>December 31, 2021</w:t>
            </w:r>
          </w:p>
        </w:tc>
        <w:tc>
          <w:tcPr>
            <w:tcW w:w="0" w:type="dxa"/>
            <w:vAlign w:val="bottom"/>
          </w:tcPr>
          <w:p>
            <w:pPr>
              <w:spacing w:after="0"/>
              <w:rPr>
                <w:sz w:val="1"/>
                <w:szCs w:val="1"/>
                <w:color w:val="auto"/>
              </w:rPr>
            </w:pPr>
          </w:p>
        </w:tc>
      </w:tr>
      <w:tr>
        <w:trPr>
          <w:trHeight w:val="236"/>
        </w:trPr>
        <w:tc>
          <w:tcPr>
            <w:tcW w:w="71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120" w:type="dxa"/>
            <w:vAlign w:val="bottom"/>
          </w:tcPr>
          <w:p>
            <w:pPr>
              <w:ind w:left="120"/>
              <w:spacing w:after="0"/>
              <w:rPr>
                <w:sz w:val="20"/>
                <w:szCs w:val="20"/>
                <w:color w:val="auto"/>
              </w:rPr>
            </w:pPr>
            <w:r>
              <w:rPr>
                <w:rFonts w:ascii="Arial" w:cs="Arial" w:eastAsia="Arial" w:hAnsi="Arial"/>
                <w:sz w:val="18"/>
                <w:szCs w:val="18"/>
                <w:color w:val="auto"/>
              </w:rPr>
              <w:t>Operating lease right-of-use assets</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34"/>
              <w:spacing w:after="0"/>
              <w:rPr>
                <w:sz w:val="20"/>
                <w:szCs w:val="20"/>
                <w:color w:val="auto"/>
              </w:rPr>
            </w:pPr>
            <w:r>
              <w:rPr>
                <w:rFonts w:ascii="Arial" w:cs="Arial" w:eastAsia="Arial" w:hAnsi="Arial"/>
                <w:sz w:val="18"/>
                <w:szCs w:val="18"/>
                <w:color w:val="auto"/>
              </w:rPr>
              <w:t>139.7</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34"/>
              <w:spacing w:after="0"/>
              <w:rPr>
                <w:sz w:val="20"/>
                <w:szCs w:val="20"/>
                <w:color w:val="auto"/>
              </w:rPr>
            </w:pPr>
            <w:r>
              <w:rPr>
                <w:rFonts w:ascii="Arial" w:cs="Arial" w:eastAsia="Arial" w:hAnsi="Arial"/>
                <w:sz w:val="18"/>
                <w:szCs w:val="18"/>
                <w:color w:val="auto"/>
              </w:rPr>
              <w:t>184.8</w:t>
            </w:r>
          </w:p>
        </w:tc>
        <w:tc>
          <w:tcPr>
            <w:tcW w:w="0" w:type="dxa"/>
            <w:vAlign w:val="bottom"/>
          </w:tcPr>
          <w:p>
            <w:pPr>
              <w:spacing w:after="0"/>
              <w:rPr>
                <w:sz w:val="1"/>
                <w:szCs w:val="1"/>
                <w:color w:val="auto"/>
              </w:rPr>
            </w:pPr>
          </w:p>
        </w:tc>
      </w:tr>
      <w:tr>
        <w:trPr>
          <w:trHeight w:val="249"/>
        </w:trPr>
        <w:tc>
          <w:tcPr>
            <w:tcW w:w="71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120" w:type="dxa"/>
            <w:vAlign w:val="bottom"/>
          </w:tcPr>
          <w:p>
            <w:pPr>
              <w:ind w:left="20"/>
              <w:spacing w:after="0"/>
              <w:rPr>
                <w:sz w:val="20"/>
                <w:szCs w:val="20"/>
                <w:color w:val="auto"/>
              </w:rPr>
            </w:pPr>
            <w:r>
              <w:rPr>
                <w:rFonts w:ascii="Arial" w:cs="Arial" w:eastAsia="Arial" w:hAnsi="Arial"/>
                <w:sz w:val="18"/>
                <w:szCs w:val="18"/>
                <w:color w:val="auto"/>
              </w:rPr>
              <w:t>Current</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1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Current operating lease liabilities</w:t>
            </w:r>
          </w:p>
        </w:tc>
        <w:tc>
          <w:tcPr>
            <w:tcW w:w="460" w:type="dxa"/>
            <w:vAlign w:val="bottom"/>
            <w:gridSpan w:val="2"/>
            <w:shd w:val="clear" w:color="auto" w:fill="CFF0FC"/>
          </w:tcPr>
          <w:p>
            <w:pPr>
              <w:ind w:left="30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53.1</w:t>
            </w:r>
          </w:p>
        </w:tc>
        <w:tc>
          <w:tcPr>
            <w:tcW w:w="460" w:type="dxa"/>
            <w:vAlign w:val="bottom"/>
            <w:gridSpan w:val="2"/>
            <w:shd w:val="clear" w:color="auto" w:fill="CFF0FC"/>
          </w:tcPr>
          <w:p>
            <w:pPr>
              <w:ind w:left="30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36"/>
        </w:trPr>
        <w:tc>
          <w:tcPr>
            <w:tcW w:w="7120" w:type="dxa"/>
            <w:vAlign w:val="bottom"/>
          </w:tcPr>
          <w:p>
            <w:pPr>
              <w:ind w:left="20"/>
              <w:spacing w:after="0"/>
              <w:rPr>
                <w:sz w:val="20"/>
                <w:szCs w:val="20"/>
                <w:color w:val="auto"/>
              </w:rPr>
            </w:pPr>
            <w:r>
              <w:rPr>
                <w:rFonts w:ascii="Arial" w:cs="Arial" w:eastAsia="Arial" w:hAnsi="Arial"/>
                <w:sz w:val="18"/>
                <w:szCs w:val="18"/>
                <w:color w:val="auto"/>
              </w:rPr>
              <w:t>Noncurrent</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1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Operating lease liabilities</w:t>
            </w:r>
          </w:p>
        </w:tc>
        <w:tc>
          <w:tcPr>
            <w:tcW w:w="3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94.6</w:t>
            </w:r>
          </w:p>
        </w:tc>
        <w:tc>
          <w:tcPr>
            <w:tcW w:w="3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118.9</w:t>
            </w:r>
          </w:p>
        </w:tc>
        <w:tc>
          <w:tcPr>
            <w:tcW w:w="0" w:type="dxa"/>
            <w:vAlign w:val="bottom"/>
          </w:tcPr>
          <w:p>
            <w:pPr>
              <w:spacing w:after="0"/>
              <w:rPr>
                <w:sz w:val="1"/>
                <w:szCs w:val="1"/>
                <w:color w:val="auto"/>
              </w:rPr>
            </w:pPr>
          </w:p>
        </w:tc>
      </w:tr>
      <w:tr>
        <w:trPr>
          <w:trHeight w:val="236"/>
        </w:trPr>
        <w:tc>
          <w:tcPr>
            <w:tcW w:w="7120" w:type="dxa"/>
            <w:vAlign w:val="bottom"/>
          </w:tcPr>
          <w:p>
            <w:pPr>
              <w:ind w:left="20"/>
              <w:spacing w:after="0"/>
              <w:rPr>
                <w:sz w:val="20"/>
                <w:szCs w:val="20"/>
                <w:color w:val="auto"/>
              </w:rPr>
            </w:pPr>
            <w:r>
              <w:rPr>
                <w:rFonts w:ascii="Arial" w:cs="Arial" w:eastAsia="Arial" w:hAnsi="Arial"/>
                <w:sz w:val="18"/>
                <w:szCs w:val="18"/>
                <w:color w:val="auto"/>
              </w:rPr>
              <w:t>Total lease liabilities</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34"/>
              <w:spacing w:after="0"/>
              <w:rPr>
                <w:sz w:val="20"/>
                <w:szCs w:val="20"/>
                <w:color w:val="auto"/>
              </w:rPr>
            </w:pPr>
            <w:r>
              <w:rPr>
                <w:rFonts w:ascii="Arial" w:cs="Arial" w:eastAsia="Arial" w:hAnsi="Arial"/>
                <w:sz w:val="18"/>
                <w:szCs w:val="18"/>
                <w:color w:val="auto"/>
              </w:rPr>
              <w:t>147.7</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34"/>
              <w:spacing w:after="0"/>
              <w:rPr>
                <w:sz w:val="20"/>
                <w:szCs w:val="20"/>
                <w:color w:val="auto"/>
              </w:rPr>
            </w:pPr>
            <w:r>
              <w:rPr>
                <w:rFonts w:ascii="Arial" w:cs="Arial" w:eastAsia="Arial" w:hAnsi="Arial"/>
                <w:sz w:val="18"/>
                <w:szCs w:val="18"/>
                <w:color w:val="auto"/>
              </w:rPr>
              <w:t>195.4</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2"/>
        </w:trPr>
        <w:tc>
          <w:tcPr>
            <w:tcW w:w="7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Lease Cost (in millions)</w:t>
            </w:r>
          </w:p>
        </w:tc>
        <w:tc>
          <w:tcPr>
            <w:tcW w:w="300" w:type="dxa"/>
            <w:vAlign w:val="bottom"/>
          </w:tcPr>
          <w:p>
            <w:pPr>
              <w:spacing w:after="0"/>
              <w:rPr>
                <w:sz w:val="24"/>
                <w:szCs w:val="24"/>
                <w:color w:val="auto"/>
              </w:rPr>
            </w:pPr>
          </w:p>
        </w:tc>
        <w:tc>
          <w:tcPr>
            <w:tcW w:w="176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24"/>
                <w:szCs w:val="24"/>
                <w:color w:val="auto"/>
              </w:rPr>
            </w:pPr>
          </w:p>
        </w:tc>
        <w:tc>
          <w:tcPr>
            <w:tcW w:w="176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4"/>
        </w:trPr>
        <w:tc>
          <w:tcPr>
            <w:tcW w:w="71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jc w:val="right"/>
              <w:ind w:right="714"/>
              <w:spacing w:after="0" w:line="144" w:lineRule="exact"/>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jc w:val="right"/>
              <w:ind w:right="714"/>
              <w:spacing w:after="0" w:line="144"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40"/>
        </w:trPr>
        <w:tc>
          <w:tcPr>
            <w:tcW w:w="7120" w:type="dxa"/>
            <w:vAlign w:val="bottom"/>
            <w:vMerge w:val="restart"/>
          </w:tcPr>
          <w:p>
            <w:pPr>
              <w:ind w:left="20"/>
              <w:spacing w:after="0" w:line="274" w:lineRule="exact"/>
              <w:rPr>
                <w:sz w:val="20"/>
                <w:szCs w:val="20"/>
                <w:color w:val="auto"/>
              </w:rPr>
            </w:pPr>
            <w:r>
              <w:rPr>
                <w:rFonts w:ascii="Arial" w:cs="Arial" w:eastAsia="Arial" w:hAnsi="Arial"/>
                <w:sz w:val="18"/>
                <w:szCs w:val="18"/>
                <w:color w:val="auto"/>
              </w:rPr>
              <w:t>Operating lease cost</w:t>
            </w:r>
            <w:r>
              <w:rPr>
                <w:rFonts w:ascii="Arial" w:cs="Arial" w:eastAsia="Arial" w:hAnsi="Arial"/>
                <w:sz w:val="28"/>
                <w:szCs w:val="28"/>
                <w:color w:val="auto"/>
                <w:vertAlign w:val="superscript"/>
              </w:rPr>
              <w:t>(a)</w:t>
            </w:r>
          </w:p>
        </w:tc>
        <w:tc>
          <w:tcPr>
            <w:tcW w:w="460" w:type="dxa"/>
            <w:vAlign w:val="bottom"/>
            <w:gridSpan w:val="2"/>
          </w:tcPr>
          <w:p>
            <w:pPr>
              <w:spacing w:after="0"/>
              <w:rPr>
                <w:sz w:val="3"/>
                <w:szCs w:val="3"/>
                <w:color w:val="auto"/>
              </w:rPr>
            </w:pPr>
          </w:p>
        </w:tc>
        <w:tc>
          <w:tcPr>
            <w:tcW w:w="1600" w:type="dxa"/>
            <w:vAlign w:val="bottom"/>
          </w:tcPr>
          <w:p>
            <w:pPr>
              <w:spacing w:after="0"/>
              <w:rPr>
                <w:sz w:val="3"/>
                <w:szCs w:val="3"/>
                <w:color w:val="auto"/>
              </w:rPr>
            </w:pPr>
          </w:p>
        </w:tc>
        <w:tc>
          <w:tcPr>
            <w:tcW w:w="460" w:type="dxa"/>
            <w:vAlign w:val="bottom"/>
            <w:gridSpan w:val="2"/>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712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6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95.7</w:t>
            </w:r>
          </w:p>
        </w:tc>
        <w:tc>
          <w:tcPr>
            <w:tcW w:w="300" w:type="dxa"/>
            <w:vAlign w:val="bottom"/>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6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133.3</w:t>
            </w:r>
          </w:p>
        </w:tc>
        <w:tc>
          <w:tcPr>
            <w:tcW w:w="0" w:type="dxa"/>
            <w:vAlign w:val="bottom"/>
          </w:tcPr>
          <w:p>
            <w:pPr>
              <w:spacing w:after="0"/>
              <w:rPr>
                <w:sz w:val="1"/>
                <w:szCs w:val="1"/>
                <w:color w:val="auto"/>
              </w:rPr>
            </w:pPr>
          </w:p>
        </w:tc>
      </w:tr>
      <w:tr>
        <w:trPr>
          <w:trHeight w:val="266"/>
        </w:trPr>
        <w:tc>
          <w:tcPr>
            <w:tcW w:w="7120" w:type="dxa"/>
            <w:vAlign w:val="bottom"/>
          </w:tcPr>
          <w:p>
            <w:pPr>
              <w:ind w:left="20"/>
              <w:spacing w:after="0" w:line="265" w:lineRule="exact"/>
              <w:rPr>
                <w:sz w:val="20"/>
                <w:szCs w:val="20"/>
                <w:color w:val="auto"/>
              </w:rPr>
            </w:pPr>
            <w:r>
              <w:rPr>
                <w:rFonts w:ascii="Arial" w:cs="Arial" w:eastAsia="Arial" w:hAnsi="Arial"/>
                <w:sz w:val="18"/>
                <w:szCs w:val="18"/>
                <w:color w:val="auto"/>
              </w:rPr>
              <w:t>Short-term cost</w:t>
            </w:r>
            <w:r>
              <w:rPr>
                <w:rFonts w:ascii="Arial" w:cs="Arial" w:eastAsia="Arial" w:hAnsi="Arial"/>
                <w:sz w:val="24"/>
                <w:szCs w:val="24"/>
                <w:color w:val="auto"/>
                <w:vertAlign w:val="superscript"/>
              </w:rPr>
              <w:t>(b)</w:t>
            </w: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0" w:type="dxa"/>
            <w:vAlign w:val="bottom"/>
          </w:tcPr>
          <w:p>
            <w:pPr>
              <w:jc w:val="right"/>
              <w:ind w:right="34"/>
              <w:spacing w:after="0"/>
              <w:rPr>
                <w:sz w:val="20"/>
                <w:szCs w:val="20"/>
                <w:color w:val="auto"/>
              </w:rPr>
            </w:pPr>
            <w:r>
              <w:rPr>
                <w:rFonts w:ascii="Arial" w:cs="Arial" w:eastAsia="Arial" w:hAnsi="Arial"/>
                <w:sz w:val="18"/>
                <w:szCs w:val="18"/>
                <w:color w:val="auto"/>
              </w:rPr>
              <w:t>27.3</w:t>
            </w: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0" w:type="dxa"/>
            <w:vAlign w:val="bottom"/>
          </w:tcPr>
          <w:p>
            <w:pPr>
              <w:jc w:val="right"/>
              <w:ind w:right="34"/>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43"/>
        </w:trPr>
        <w:tc>
          <w:tcPr>
            <w:tcW w:w="7120" w:type="dxa"/>
            <w:vAlign w:val="bottom"/>
            <w:tcBorders>
              <w:bottom w:val="single" w:sz="8" w:color="CFF0FC"/>
            </w:tcBorders>
            <w:shd w:val="clear" w:color="auto" w:fill="CFF0FC"/>
          </w:tcPr>
          <w:p>
            <w:pPr>
              <w:ind w:left="20"/>
              <w:spacing w:after="0" w:line="243" w:lineRule="exact"/>
              <w:rPr>
                <w:sz w:val="20"/>
                <w:szCs w:val="20"/>
                <w:color w:val="auto"/>
              </w:rPr>
            </w:pPr>
            <w:r>
              <w:rPr>
                <w:rFonts w:ascii="Arial" w:cs="Arial" w:eastAsia="Arial" w:hAnsi="Arial"/>
                <w:sz w:val="18"/>
                <w:szCs w:val="18"/>
                <w:color w:val="auto"/>
              </w:rPr>
              <w:t>Variable lease cost</w:t>
            </w:r>
            <w:r>
              <w:rPr>
                <w:rFonts w:ascii="Arial" w:cs="Arial" w:eastAsia="Arial" w:hAnsi="Arial"/>
                <w:sz w:val="24"/>
                <w:szCs w:val="24"/>
                <w:color w:val="auto"/>
                <w:vertAlign w:val="superscript"/>
              </w:rPr>
              <w:t>(b)</w:t>
            </w:r>
          </w:p>
        </w:tc>
        <w:tc>
          <w:tcPr>
            <w:tcW w:w="3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9.6</w:t>
            </w:r>
          </w:p>
        </w:tc>
        <w:tc>
          <w:tcPr>
            <w:tcW w:w="3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24"/>
        </w:trPr>
        <w:tc>
          <w:tcPr>
            <w:tcW w:w="7120" w:type="dxa"/>
            <w:vAlign w:val="bottom"/>
          </w:tcPr>
          <w:p>
            <w:pPr>
              <w:ind w:left="20"/>
              <w:spacing w:after="0"/>
              <w:rPr>
                <w:sz w:val="20"/>
                <w:szCs w:val="20"/>
                <w:color w:val="auto"/>
              </w:rPr>
            </w:pPr>
            <w:r>
              <w:rPr>
                <w:rFonts w:ascii="Arial" w:cs="Arial" w:eastAsia="Arial" w:hAnsi="Arial"/>
                <w:sz w:val="18"/>
                <w:szCs w:val="18"/>
                <w:color w:val="auto"/>
              </w:rPr>
              <w:t>Total lease cost</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34"/>
              <w:spacing w:after="0"/>
              <w:rPr>
                <w:sz w:val="20"/>
                <w:szCs w:val="20"/>
                <w:color w:val="auto"/>
              </w:rPr>
            </w:pPr>
            <w:r>
              <w:rPr>
                <w:rFonts w:ascii="Arial" w:cs="Arial" w:eastAsia="Arial" w:hAnsi="Arial"/>
                <w:sz w:val="18"/>
                <w:szCs w:val="18"/>
                <w:color w:val="auto"/>
              </w:rPr>
              <w:t>132.6</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34"/>
              <w:spacing w:after="0"/>
              <w:rPr>
                <w:sz w:val="20"/>
                <w:szCs w:val="20"/>
                <w:color w:val="auto"/>
              </w:rPr>
            </w:pPr>
            <w:r>
              <w:rPr>
                <w:rFonts w:ascii="Arial" w:cs="Arial" w:eastAsia="Arial" w:hAnsi="Arial"/>
                <w:sz w:val="18"/>
                <w:szCs w:val="18"/>
                <w:color w:val="auto"/>
              </w:rPr>
              <w:t>174.2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5827395</wp:posOffset>
            </wp:positionH>
            <wp:positionV relativeFrom="paragraph">
              <wp:posOffset>-1155700</wp:posOffset>
            </wp:positionV>
            <wp:extent cx="188595" cy="18859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88595"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-624840</wp:posOffset>
            </wp:positionV>
            <wp:extent cx="7132320" cy="16256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4705985</wp:posOffset>
            </wp:positionH>
            <wp:positionV relativeFrom="paragraph">
              <wp:posOffset>-154305</wp:posOffset>
            </wp:positionV>
            <wp:extent cx="2431415" cy="18859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431415" cy="188595"/>
                    </a:xfrm>
                    <a:prstGeom prst="rect">
                      <a:avLst/>
                    </a:prstGeom>
                    <a:noFill/>
                  </pic:spPr>
                </pic:pic>
              </a:graphicData>
            </a:graphic>
          </wp:anchor>
        </w:drawing>
      </w:r>
    </w:p>
    <w:p>
      <w:pPr>
        <w:spacing w:after="0" w:line="14" w:lineRule="exact"/>
        <w:rPr>
          <w:sz w:val="20"/>
          <w:szCs w:val="20"/>
          <w:color w:val="auto"/>
        </w:rPr>
      </w:pPr>
    </w:p>
    <w:p>
      <w:pPr>
        <w:ind w:left="380" w:hanging="372"/>
        <w:spacing w:after="0"/>
        <w:tabs>
          <w:tab w:leader="none" w:pos="3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Operating lease cost represent non-cash amortization of ROU assets and accretion of the discounted lease liabilities and is segregated on the statement of consolidated cash flows.</w:t>
      </w:r>
    </w:p>
    <w:p>
      <w:pPr>
        <w:spacing w:after="0" w:line="10" w:lineRule="exact"/>
        <w:rPr>
          <w:rFonts w:ascii="Arial" w:cs="Arial" w:eastAsia="Arial" w:hAnsi="Arial"/>
          <w:sz w:val="13"/>
          <w:szCs w:val="13"/>
          <w:color w:val="auto"/>
        </w:rPr>
      </w:pPr>
    </w:p>
    <w:p>
      <w:pPr>
        <w:ind w:left="380" w:hanging="372"/>
        <w:spacing w:after="0"/>
        <w:tabs>
          <w:tab w:leader="none" w:pos="3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These costs are classified as operating expense and recorded primarily within purchased transportation.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4705985</wp:posOffset>
            </wp:positionH>
            <wp:positionV relativeFrom="paragraph">
              <wp:posOffset>-200025</wp:posOffset>
            </wp:positionV>
            <wp:extent cx="243141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431415" cy="8255"/>
                    </a:xfrm>
                    <a:prstGeom prst="rect">
                      <a:avLst/>
                    </a:prstGeom>
                    <a:noFill/>
                  </pic:spPr>
                </pic:pic>
              </a:graphicData>
            </a:graphic>
          </wp:anchor>
        </w:drawing>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340" w:type="dxa"/>
            <w:vAlign w:val="bottom"/>
          </w:tcPr>
          <w:p>
            <w:pPr>
              <w:ind w:left="20"/>
              <w:spacing w:after="0"/>
              <w:rPr>
                <w:sz w:val="20"/>
                <w:szCs w:val="20"/>
                <w:color w:val="auto"/>
              </w:rPr>
            </w:pPr>
            <w:r>
              <w:rPr>
                <w:rFonts w:ascii="Arial" w:cs="Arial" w:eastAsia="Arial" w:hAnsi="Arial"/>
                <w:sz w:val="14"/>
                <w:szCs w:val="14"/>
                <w:b w:val="1"/>
                <w:bCs w:val="1"/>
                <w:color w:val="auto"/>
              </w:rPr>
              <w:t>Remaining Maturities of Lease Liabilities (in millions)</w:t>
            </w:r>
          </w:p>
        </w:tc>
        <w:tc>
          <w:tcPr>
            <w:tcW w:w="15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Operating Leases</w:t>
            </w:r>
          </w:p>
        </w:tc>
        <w:tc>
          <w:tcPr>
            <w:tcW w:w="0" w:type="dxa"/>
            <w:vAlign w:val="bottom"/>
          </w:tcPr>
          <w:p>
            <w:pPr>
              <w:spacing w:after="0"/>
              <w:rPr>
                <w:sz w:val="1"/>
                <w:szCs w:val="1"/>
                <w:color w:val="auto"/>
              </w:rPr>
            </w:pPr>
          </w:p>
        </w:tc>
      </w:tr>
      <w:tr>
        <w:trPr>
          <w:trHeight w:val="236"/>
        </w:trPr>
        <w:tc>
          <w:tcPr>
            <w:tcW w:w="634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1540" w:type="dxa"/>
            <w:vAlign w:val="bottom"/>
            <w:tcBorders>
              <w:top w:val="single" w:sz="8" w:color="auto"/>
            </w:tcBorders>
            <w:shd w:val="clear" w:color="auto" w:fill="CFF0FC"/>
          </w:tcPr>
          <w:p>
            <w:pPr>
              <w:spacing w:after="0"/>
              <w:rPr>
                <w:sz w:val="20"/>
                <w:szCs w:val="20"/>
                <w:color w:val="auto"/>
              </w:rPr>
            </w:pPr>
          </w:p>
        </w:tc>
        <w:tc>
          <w:tcPr>
            <w:tcW w:w="1540" w:type="dxa"/>
            <w:vAlign w:val="bottom"/>
            <w:tcBorders>
              <w:top w:val="single" w:sz="8" w:color="auto"/>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67.0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340" w:type="dxa"/>
            <w:vAlign w:val="bottom"/>
          </w:tcPr>
          <w:p>
            <w:pPr>
              <w:ind w:left="20"/>
              <w:spacing w:after="0"/>
              <w:rPr>
                <w:sz w:val="20"/>
                <w:szCs w:val="20"/>
                <w:color w:val="auto"/>
              </w:rPr>
            </w:pPr>
            <w:r>
              <w:rPr>
                <w:rFonts w:ascii="Arial" w:cs="Arial" w:eastAsia="Arial" w:hAnsi="Arial"/>
                <w:sz w:val="18"/>
                <w:szCs w:val="18"/>
                <w:color w:val="auto"/>
              </w:rPr>
              <w:t>2024</w:t>
            </w:r>
          </w:p>
        </w:tc>
        <w:tc>
          <w:tcPr>
            <w:tcW w:w="15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jc w:val="right"/>
              <w:ind w:right="34"/>
              <w:spacing w:after="0"/>
              <w:rPr>
                <w:sz w:val="20"/>
                <w:szCs w:val="20"/>
                <w:color w:val="auto"/>
              </w:rPr>
            </w:pPr>
            <w:r>
              <w:rPr>
                <w:rFonts w:ascii="Arial" w:cs="Arial" w:eastAsia="Arial" w:hAnsi="Arial"/>
                <w:sz w:val="18"/>
                <w:szCs w:val="18"/>
                <w:color w:val="auto"/>
              </w:rPr>
              <w:t>34.6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1540" w:type="dxa"/>
            <w:vAlign w:val="bottom"/>
            <w:shd w:val="clear" w:color="auto" w:fill="CFF0FC"/>
          </w:tcPr>
          <w:p>
            <w:pPr>
              <w:spacing w:after="0"/>
              <w:rPr>
                <w:sz w:val="21"/>
                <w:szCs w:val="21"/>
                <w:color w:val="auto"/>
              </w:rPr>
            </w:pPr>
          </w:p>
        </w:tc>
        <w:tc>
          <w:tcPr>
            <w:tcW w:w="15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23.1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340" w:type="dxa"/>
            <w:vAlign w:val="bottom"/>
          </w:tcPr>
          <w:p>
            <w:pPr>
              <w:ind w:left="20"/>
              <w:spacing w:after="0"/>
              <w:rPr>
                <w:sz w:val="20"/>
                <w:szCs w:val="20"/>
                <w:color w:val="auto"/>
              </w:rPr>
            </w:pPr>
            <w:r>
              <w:rPr>
                <w:rFonts w:ascii="Arial" w:cs="Arial" w:eastAsia="Arial" w:hAnsi="Arial"/>
                <w:sz w:val="18"/>
                <w:szCs w:val="18"/>
                <w:color w:val="auto"/>
              </w:rPr>
              <w:t>2026</w:t>
            </w:r>
          </w:p>
        </w:tc>
        <w:tc>
          <w:tcPr>
            <w:tcW w:w="15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jc w:val="right"/>
              <w:ind w:right="34"/>
              <w:spacing w:after="0"/>
              <w:rPr>
                <w:sz w:val="20"/>
                <w:szCs w:val="20"/>
                <w:color w:val="auto"/>
              </w:rPr>
            </w:pPr>
            <w:r>
              <w:rPr>
                <w:rFonts w:ascii="Arial" w:cs="Arial" w:eastAsia="Arial" w:hAnsi="Arial"/>
                <w:sz w:val="18"/>
                <w:szCs w:val="18"/>
                <w:color w:val="auto"/>
              </w:rPr>
              <w:t>18.8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2027</w:t>
            </w:r>
          </w:p>
        </w:tc>
        <w:tc>
          <w:tcPr>
            <w:tcW w:w="1540" w:type="dxa"/>
            <w:vAlign w:val="bottom"/>
            <w:shd w:val="clear" w:color="auto" w:fill="CFF0FC"/>
          </w:tcPr>
          <w:p>
            <w:pPr>
              <w:spacing w:after="0"/>
              <w:rPr>
                <w:sz w:val="21"/>
                <w:szCs w:val="21"/>
                <w:color w:val="auto"/>
              </w:rPr>
            </w:pPr>
          </w:p>
        </w:tc>
        <w:tc>
          <w:tcPr>
            <w:tcW w:w="15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15.5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340" w:type="dxa"/>
            <w:vAlign w:val="bottom"/>
          </w:tcPr>
          <w:p>
            <w:pPr>
              <w:ind w:left="20"/>
              <w:spacing w:after="0"/>
              <w:rPr>
                <w:sz w:val="20"/>
                <w:szCs w:val="20"/>
                <w:color w:val="auto"/>
              </w:rPr>
            </w:pPr>
            <w:r>
              <w:rPr>
                <w:rFonts w:ascii="Arial" w:cs="Arial" w:eastAsia="Arial" w:hAnsi="Arial"/>
                <w:sz w:val="18"/>
                <w:szCs w:val="18"/>
                <w:color w:val="auto"/>
              </w:rPr>
              <w:t>After 2027</w:t>
            </w:r>
          </w:p>
        </w:tc>
        <w:tc>
          <w:tcPr>
            <w:tcW w:w="15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39.6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6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lease payments</w:t>
            </w:r>
          </w:p>
        </w:tc>
        <w:tc>
          <w:tcPr>
            <w:tcW w:w="1540" w:type="dxa"/>
            <w:vAlign w:val="bottom"/>
            <w:shd w:val="clear" w:color="auto" w:fill="CFF0FC"/>
          </w:tcPr>
          <w:p>
            <w:pPr>
              <w:spacing w:after="0"/>
              <w:rPr>
                <w:sz w:val="21"/>
                <w:szCs w:val="21"/>
                <w:color w:val="auto"/>
              </w:rPr>
            </w:pPr>
          </w:p>
        </w:tc>
        <w:tc>
          <w:tcPr>
            <w:tcW w:w="154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198.6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340" w:type="dxa"/>
            <w:vAlign w:val="bottom"/>
          </w:tcPr>
          <w:p>
            <w:pPr>
              <w:ind w:left="120"/>
              <w:spacing w:after="0"/>
              <w:rPr>
                <w:sz w:val="20"/>
                <w:szCs w:val="20"/>
                <w:color w:val="auto"/>
              </w:rPr>
            </w:pPr>
            <w:r>
              <w:rPr>
                <w:rFonts w:ascii="Arial" w:cs="Arial" w:eastAsia="Arial" w:hAnsi="Arial"/>
                <w:sz w:val="18"/>
                <w:szCs w:val="18"/>
                <w:color w:val="auto"/>
              </w:rPr>
              <w:t>Less: Imputed interest</w:t>
            </w:r>
          </w:p>
        </w:tc>
        <w:tc>
          <w:tcPr>
            <w:tcW w:w="15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50.9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63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Present value of lease liabilities</w:t>
            </w:r>
          </w:p>
        </w:tc>
        <w:tc>
          <w:tcPr>
            <w:tcW w:w="1540" w:type="dxa"/>
            <w:vAlign w:val="bottom"/>
            <w:tcBorders>
              <w:bottom w:val="single" w:sz="8" w:color="CFF0FC"/>
            </w:tcBorders>
            <w:shd w:val="clear" w:color="auto" w:fill="CFF0FC"/>
          </w:tcPr>
          <w:p>
            <w:pPr>
              <w:spacing w:after="0"/>
              <w:rPr>
                <w:sz w:val="24"/>
                <w:szCs w:val="24"/>
                <w:color w:val="auto"/>
              </w:rPr>
            </w:pPr>
          </w:p>
        </w:tc>
        <w:tc>
          <w:tcPr>
            <w:tcW w:w="15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147.7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3"/>
        </w:trPr>
        <w:tc>
          <w:tcPr>
            <w:tcW w:w="63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Lease Term and Discount Rate</w:t>
            </w:r>
          </w:p>
        </w:tc>
        <w:tc>
          <w:tcPr>
            <w:tcW w:w="15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976"/>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6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Weighted-average remaining lease term - operating leases (years)</w:t>
            </w:r>
          </w:p>
        </w:tc>
        <w:tc>
          <w:tcPr>
            <w:tcW w:w="1540" w:type="dxa"/>
            <w:vAlign w:val="bottom"/>
            <w:shd w:val="clear" w:color="auto" w:fill="CFF0FC"/>
          </w:tcPr>
          <w:p>
            <w:pPr>
              <w:spacing w:after="0"/>
              <w:rPr>
                <w:sz w:val="20"/>
                <w:szCs w:val="20"/>
                <w:color w:val="auto"/>
              </w:rPr>
            </w:pPr>
          </w:p>
        </w:tc>
        <w:tc>
          <w:tcPr>
            <w:tcW w:w="1540" w:type="dxa"/>
            <w:vAlign w:val="bottom"/>
            <w:shd w:val="clear" w:color="auto" w:fill="CFF0FC"/>
          </w:tcPr>
          <w:p>
            <w:pPr>
              <w:jc w:val="right"/>
              <w:ind w:right="136"/>
              <w:spacing w:after="0"/>
              <w:rPr>
                <w:sz w:val="20"/>
                <w:szCs w:val="20"/>
                <w:color w:val="auto"/>
              </w:rPr>
            </w:pPr>
            <w:r>
              <w:rPr>
                <w:rFonts w:ascii="Arial" w:cs="Arial" w:eastAsia="Arial" w:hAnsi="Arial"/>
                <w:sz w:val="18"/>
                <w:szCs w:val="18"/>
                <w:color w:val="auto"/>
              </w:rPr>
              <w:t>5.4</w:t>
            </w:r>
          </w:p>
        </w:tc>
        <w:tc>
          <w:tcPr>
            <w:tcW w:w="220" w:type="dxa"/>
            <w:vAlign w:val="bottom"/>
            <w:shd w:val="clear" w:color="auto" w:fill="CFF0FC"/>
          </w:tcPr>
          <w:p>
            <w:pPr>
              <w:spacing w:after="0"/>
              <w:rPr>
                <w:sz w:val="20"/>
                <w:szCs w:val="20"/>
                <w:color w:val="auto"/>
              </w:rPr>
            </w:pPr>
          </w:p>
        </w:tc>
        <w:tc>
          <w:tcPr>
            <w:tcW w:w="16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340" w:type="dxa"/>
            <w:vAlign w:val="bottom"/>
          </w:tcPr>
          <w:p>
            <w:pPr>
              <w:ind w:left="20"/>
              <w:spacing w:after="0"/>
              <w:rPr>
                <w:sz w:val="20"/>
                <w:szCs w:val="20"/>
                <w:color w:val="auto"/>
              </w:rPr>
            </w:pPr>
            <w:r>
              <w:rPr>
                <w:rFonts w:ascii="Arial" w:cs="Arial" w:eastAsia="Arial" w:hAnsi="Arial"/>
                <w:sz w:val="18"/>
                <w:szCs w:val="18"/>
                <w:color w:val="auto"/>
              </w:rPr>
              <w:t>Weighted-average discount rate - operating leases</w:t>
            </w:r>
          </w:p>
        </w:tc>
        <w:tc>
          <w:tcPr>
            <w:tcW w:w="15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10.7 %</w:t>
            </w:r>
          </w:p>
        </w:tc>
        <w:tc>
          <w:tcPr>
            <w:tcW w:w="220" w:type="dxa"/>
            <w:vAlign w:val="bottom"/>
          </w:tcPr>
          <w:p>
            <w:pPr>
              <w:spacing w:after="0"/>
              <w:rPr>
                <w:sz w:val="20"/>
                <w:szCs w:val="20"/>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11.6 %</w:t>
            </w:r>
          </w:p>
        </w:tc>
        <w:tc>
          <w:tcPr>
            <w:tcW w:w="0" w:type="dxa"/>
            <w:vAlign w:val="bottom"/>
          </w:tcPr>
          <w:p>
            <w:pPr>
              <w:spacing w:after="0"/>
              <w:rPr>
                <w:sz w:val="1"/>
                <w:szCs w:val="1"/>
                <w:color w:val="auto"/>
              </w:rPr>
            </w:pPr>
          </w:p>
        </w:tc>
      </w:tr>
      <w:tr>
        <w:trPr>
          <w:trHeight w:val="543"/>
        </w:trPr>
        <w:tc>
          <w:tcPr>
            <w:tcW w:w="63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Other Information (in millions)</w:t>
            </w:r>
          </w:p>
        </w:tc>
        <w:tc>
          <w:tcPr>
            <w:tcW w:w="3080" w:type="dxa"/>
            <w:vAlign w:val="bottom"/>
            <w:gridSpan w:val="2"/>
          </w:tcPr>
          <w:p>
            <w:pPr>
              <w:jc w:val="right"/>
              <w:ind w:right="116"/>
              <w:spacing w:after="0"/>
              <w:rPr>
                <w:sz w:val="20"/>
                <w:szCs w:val="20"/>
                <w:color w:val="auto"/>
              </w:rPr>
            </w:pPr>
            <w:r>
              <w:rPr>
                <w:rFonts w:ascii="Arial" w:cs="Arial" w:eastAsia="Arial" w:hAnsi="Arial"/>
                <w:sz w:val="14"/>
                <w:szCs w:val="14"/>
                <w:b w:val="1"/>
                <w:bCs w:val="1"/>
                <w:color w:val="auto"/>
              </w:rPr>
              <w:t>Year Ended December 31,</w:t>
            </w:r>
          </w:p>
        </w:tc>
        <w:tc>
          <w:tcPr>
            <w:tcW w:w="18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Year Ended December 31,</w:t>
            </w:r>
          </w:p>
        </w:tc>
        <w:tc>
          <w:tcPr>
            <w:tcW w:w="0" w:type="dxa"/>
            <w:vAlign w:val="bottom"/>
          </w:tcPr>
          <w:p>
            <w:pPr>
              <w:spacing w:after="0"/>
              <w:rPr>
                <w:sz w:val="1"/>
                <w:szCs w:val="1"/>
                <w:color w:val="auto"/>
              </w:rPr>
            </w:pPr>
          </w:p>
        </w:tc>
      </w:tr>
      <w:tr>
        <w:trPr>
          <w:trHeight w:val="185"/>
        </w:trPr>
        <w:tc>
          <w:tcPr>
            <w:tcW w:w="6340" w:type="dxa"/>
            <w:vAlign w:val="bottom"/>
            <w:tcBorders>
              <w:bottom w:val="single" w:sz="8" w:color="auto"/>
            </w:tcBorders>
            <w:vMerge w:val="continue"/>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736"/>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234"/>
              <w:spacing w:after="0"/>
              <w:rPr>
                <w:sz w:val="20"/>
                <w:szCs w:val="20"/>
                <w:color w:val="auto"/>
              </w:rPr>
            </w:pPr>
            <w:r>
              <w:rPr>
                <w:rFonts w:ascii="Arial" w:cs="Arial" w:eastAsia="Arial" w:hAnsi="Arial"/>
                <w:sz w:val="14"/>
                <w:szCs w:val="14"/>
                <w:b w:val="1"/>
                <w:bCs w:val="1"/>
                <w:color w:val="auto"/>
                <w:w w:val="89"/>
              </w:rPr>
              <w:t>2021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540" w:type="dxa"/>
            <w:vAlign w:val="bottom"/>
            <w:shd w:val="clear" w:color="auto" w:fill="CFF0FC"/>
          </w:tcPr>
          <w:p>
            <w:pPr>
              <w:spacing w:after="0"/>
              <w:rPr>
                <w:sz w:val="20"/>
                <w:szCs w:val="20"/>
                <w:color w:val="auto"/>
              </w:rPr>
            </w:pPr>
          </w:p>
        </w:tc>
        <w:tc>
          <w:tcPr>
            <w:tcW w:w="15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340" w:type="dxa"/>
            <w:vAlign w:val="bottom"/>
          </w:tcPr>
          <w:p>
            <w:pPr>
              <w:ind w:left="20"/>
              <w:spacing w:after="0"/>
              <w:rPr>
                <w:sz w:val="20"/>
                <w:szCs w:val="20"/>
                <w:color w:val="auto"/>
              </w:rPr>
            </w:pPr>
            <w:r>
              <w:rPr>
                <w:rFonts w:ascii="Arial" w:cs="Arial" w:eastAsia="Arial" w:hAnsi="Arial"/>
                <w:sz w:val="18"/>
                <w:szCs w:val="18"/>
                <w:color w:val="auto"/>
              </w:rPr>
              <w:t>Operating cash flows from operating leases</w:t>
            </w:r>
          </w:p>
        </w:tc>
        <w:tc>
          <w:tcPr>
            <w:tcW w:w="1540" w:type="dxa"/>
            <w:vAlign w:val="bottom"/>
          </w:tcPr>
          <w:p>
            <w:pPr>
              <w:jc w:val="right"/>
              <w:ind w:right="119"/>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6"/>
              <w:spacing w:after="0"/>
              <w:rPr>
                <w:sz w:val="20"/>
                <w:szCs w:val="20"/>
                <w:color w:val="auto"/>
              </w:rPr>
            </w:pPr>
            <w:r>
              <w:rPr>
                <w:rFonts w:ascii="Arial" w:cs="Arial" w:eastAsia="Arial" w:hAnsi="Arial"/>
                <w:sz w:val="18"/>
                <w:szCs w:val="18"/>
                <w:color w:val="auto"/>
              </w:rPr>
              <w:t>95.3</w:t>
            </w:r>
          </w:p>
        </w:tc>
        <w:tc>
          <w:tcPr>
            <w:tcW w:w="220" w:type="dxa"/>
            <w:vAlign w:val="bottom"/>
          </w:tcPr>
          <w:p>
            <w:pPr>
              <w:jc w:val="right"/>
              <w:ind w:right="34"/>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ind w:right="34"/>
              <w:spacing w:after="0"/>
              <w:rPr>
                <w:sz w:val="20"/>
                <w:szCs w:val="20"/>
                <w:color w:val="auto"/>
              </w:rPr>
            </w:pPr>
            <w:r>
              <w:rPr>
                <w:rFonts w:ascii="Arial" w:cs="Arial" w:eastAsia="Arial" w:hAnsi="Arial"/>
                <w:sz w:val="18"/>
                <w:szCs w:val="18"/>
                <w:color w:val="auto"/>
              </w:rPr>
              <w:t>136.3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Leased assets obtained in exchange for new operating lease liabilities</w:t>
            </w:r>
          </w:p>
        </w:tc>
        <w:tc>
          <w:tcPr>
            <w:tcW w:w="1540" w:type="dxa"/>
            <w:vAlign w:val="bottom"/>
            <w:shd w:val="clear" w:color="auto" w:fill="CFF0FC"/>
          </w:tcPr>
          <w:p>
            <w:pPr>
              <w:spacing w:after="0"/>
              <w:rPr>
                <w:sz w:val="21"/>
                <w:szCs w:val="21"/>
                <w:color w:val="auto"/>
              </w:rPr>
            </w:pPr>
          </w:p>
        </w:tc>
        <w:tc>
          <w:tcPr>
            <w:tcW w:w="154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7.7</w:t>
            </w:r>
          </w:p>
        </w:tc>
        <w:tc>
          <w:tcPr>
            <w:tcW w:w="220" w:type="dxa"/>
            <w:vAlign w:val="bottom"/>
            <w:shd w:val="clear" w:color="auto" w:fill="CFF0FC"/>
          </w:tcPr>
          <w:p>
            <w:pPr>
              <w:spacing w:after="0"/>
              <w:rPr>
                <w:sz w:val="21"/>
                <w:szCs w:val="21"/>
                <w:color w:val="auto"/>
              </w:rPr>
            </w:pPr>
          </w:p>
        </w:tc>
        <w:tc>
          <w:tcPr>
            <w:tcW w:w="16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18.3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Equity-Based Compensation Plans</w:t>
      </w:r>
    </w:p>
    <w:p>
      <w:pPr>
        <w:spacing w:after="0" w:line="188" w:lineRule="exact"/>
        <w:rPr>
          <w:sz w:val="20"/>
          <w:szCs w:val="20"/>
          <w:color w:val="auto"/>
        </w:rPr>
      </w:pPr>
    </w:p>
    <w:p>
      <w:pPr>
        <w:jc w:val="both"/>
        <w:ind w:right="60"/>
        <w:spacing w:after="0" w:line="254" w:lineRule="auto"/>
        <w:rPr>
          <w:sz w:val="20"/>
          <w:szCs w:val="20"/>
          <w:color w:val="auto"/>
        </w:rPr>
      </w:pPr>
      <w:r>
        <w:rPr>
          <w:rFonts w:ascii="Arial" w:cs="Arial" w:eastAsia="Arial" w:hAnsi="Arial"/>
          <w:sz w:val="18"/>
          <w:szCs w:val="18"/>
          <w:color w:val="auto"/>
        </w:rPr>
        <w:t>We reserved 2.5 million shares for issuance to key management personnel and directors under the 2019 Incentive and Equity Award Plan, in addition to the 5.0 million shares reserved for the Amended and Restated 2011 Incentive and Equity Award Plan. As of December 31, 2022, 1.4 million shares remain available for future issuance under these plans. The plans permit the issuance of restricted stock and stock units, as well as options, stock appreciation rights, and performance stock and performance stock unit awards. Awards under the plan can be generally satisfied in cash or shares at the discretion of the Board of Directors. According to the plan provisions, the stock units provide the holders the right to receive one share of our Common Stock upon vesting (and distribution) of one stock unit. The plan requires the exercise price of any option granted may not be less than the fair market value of a share of our Common Stock on the date of grant.</w:t>
      </w:r>
    </w:p>
    <w:p>
      <w:pPr>
        <w:spacing w:after="0" w:line="152"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Additionally, we reserved 3.0 million shares for issuance to employees under the 2020 employee stock purchase plan. As of December 31, 2022, 2.6 million shares remain available for future issuance under this plan.</w:t>
      </w:r>
    </w:p>
    <w:p>
      <w:pPr>
        <w:spacing w:after="0" w:line="16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445" w:right="27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i w:val="1"/>
          <w:iCs w:val="1"/>
          <w:color w:val="auto"/>
        </w:rPr>
        <w:t>Restricted Stock and Stock Units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activity of our unvested restricted stock and stock unit awards are presented in the following table: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tcPr>
          <w:p>
            <w:pPr>
              <w:jc w:val="center"/>
              <w:ind w:right="314"/>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7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vMerge w:val="restart"/>
          </w:tcPr>
          <w:p>
            <w:pPr>
              <w:jc w:val="right"/>
              <w:ind w:right="436"/>
              <w:spacing w:after="0"/>
              <w:rPr>
                <w:sz w:val="20"/>
                <w:szCs w:val="20"/>
                <w:color w:val="auto"/>
              </w:rPr>
            </w:pPr>
            <w:r>
              <w:rPr>
                <w:rFonts w:ascii="Arial" w:cs="Arial" w:eastAsia="Arial" w:hAnsi="Arial"/>
                <w:sz w:val="14"/>
                <w:szCs w:val="14"/>
                <w:b w:val="1"/>
                <w:bCs w:val="1"/>
                <w:color w:val="auto"/>
              </w:rPr>
              <w:t>Shares/units</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tcPr>
          <w:p>
            <w:pPr>
              <w:jc w:val="center"/>
              <w:ind w:right="314"/>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7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tcPr>
          <w:p>
            <w:pPr>
              <w:jc w:val="center"/>
              <w:ind w:right="294"/>
              <w:spacing w:after="0" w:line="149" w:lineRule="exact"/>
              <w:rPr>
                <w:sz w:val="20"/>
                <w:szCs w:val="20"/>
                <w:color w:val="auto"/>
              </w:rPr>
            </w:pPr>
            <w:r>
              <w:rPr>
                <w:rFonts w:ascii="Arial" w:cs="Arial" w:eastAsia="Arial" w:hAnsi="Arial"/>
                <w:sz w:val="14"/>
                <w:szCs w:val="14"/>
                <w:b w:val="1"/>
                <w:bCs w:val="1"/>
                <w:color w:val="auto"/>
                <w:w w:val="99"/>
              </w:rPr>
              <w:t>Grant-Date</w:t>
            </w:r>
          </w:p>
        </w:tc>
        <w:tc>
          <w:tcPr>
            <w:tcW w:w="0" w:type="dxa"/>
            <w:vAlign w:val="bottom"/>
          </w:tcPr>
          <w:p>
            <w:pPr>
              <w:spacing w:after="0"/>
              <w:rPr>
                <w:sz w:val="1"/>
                <w:szCs w:val="1"/>
                <w:color w:val="auto"/>
              </w:rPr>
            </w:pPr>
          </w:p>
        </w:tc>
      </w:tr>
      <w:tr>
        <w:trPr>
          <w:trHeight w:val="185"/>
        </w:trPr>
        <w:tc>
          <w:tcPr>
            <w:tcW w:w="75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294"/>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36"/>
        </w:trPr>
        <w:tc>
          <w:tcPr>
            <w:tcW w:w="7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Unvested at December 31, 2019</w:t>
            </w:r>
          </w:p>
        </w:tc>
        <w:tc>
          <w:tcPr>
            <w:tcW w:w="120" w:type="dxa"/>
            <w:vAlign w:val="bottom"/>
            <w:shd w:val="clear" w:color="auto" w:fill="CFF0FC"/>
          </w:tcPr>
          <w:p>
            <w:pPr>
              <w:spacing w:after="0"/>
              <w:rPr>
                <w:sz w:val="20"/>
                <w:szCs w:val="20"/>
                <w:color w:val="auto"/>
              </w:rPr>
            </w:pPr>
          </w:p>
        </w:tc>
        <w:tc>
          <w:tcPr>
            <w:tcW w:w="17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993</w:t>
            </w:r>
          </w:p>
        </w:tc>
        <w:tc>
          <w:tcPr>
            <w:tcW w:w="18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36"/>
        </w:trPr>
        <w:tc>
          <w:tcPr>
            <w:tcW w:w="7540" w:type="dxa"/>
            <w:vAlign w:val="bottom"/>
          </w:tcPr>
          <w:p>
            <w:pPr>
              <w:ind w:left="120"/>
              <w:spacing w:after="0"/>
              <w:rPr>
                <w:sz w:val="20"/>
                <w:szCs w:val="20"/>
                <w:color w:val="auto"/>
              </w:rPr>
            </w:pPr>
            <w:r>
              <w:rPr>
                <w:rFonts w:ascii="Arial" w:cs="Arial" w:eastAsia="Arial" w:hAnsi="Arial"/>
                <w:sz w:val="18"/>
                <w:szCs w:val="18"/>
                <w:color w:val="auto"/>
              </w:rPr>
              <w:t>Granted</w:t>
            </w:r>
          </w:p>
        </w:tc>
        <w:tc>
          <w:tcPr>
            <w:tcW w:w="1820" w:type="dxa"/>
            <w:vAlign w:val="bottom"/>
            <w:gridSpan w:val="2"/>
          </w:tcPr>
          <w:p>
            <w:pPr>
              <w:jc w:val="right"/>
              <w:ind w:right="36"/>
              <w:spacing w:after="0"/>
              <w:rPr>
                <w:sz w:val="20"/>
                <w:szCs w:val="20"/>
                <w:color w:val="auto"/>
              </w:rPr>
            </w:pPr>
            <w:r>
              <w:rPr>
                <w:rFonts w:ascii="Arial" w:cs="Arial" w:eastAsia="Arial" w:hAnsi="Arial"/>
                <w:sz w:val="18"/>
                <w:szCs w:val="18"/>
                <w:color w:val="auto"/>
              </w:rPr>
              <w:t>1,656</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49"/>
        </w:trPr>
        <w:tc>
          <w:tcPr>
            <w:tcW w:w="75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Vested and distributed</w:t>
            </w:r>
          </w:p>
        </w:tc>
        <w:tc>
          <w:tcPr>
            <w:tcW w:w="1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(820 )</w:t>
            </w:r>
          </w:p>
        </w:tc>
        <w:tc>
          <w:tcPr>
            <w:tcW w:w="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36"/>
        </w:trPr>
        <w:tc>
          <w:tcPr>
            <w:tcW w:w="7540" w:type="dxa"/>
            <w:vAlign w:val="bottom"/>
          </w:tcPr>
          <w:p>
            <w:pPr>
              <w:ind w:left="120"/>
              <w:spacing w:after="0"/>
              <w:rPr>
                <w:sz w:val="20"/>
                <w:szCs w:val="20"/>
                <w:color w:val="auto"/>
              </w:rPr>
            </w:pPr>
            <w:r>
              <w:rPr>
                <w:rFonts w:ascii="Arial" w:cs="Arial" w:eastAsia="Arial" w:hAnsi="Arial"/>
                <w:sz w:val="18"/>
                <w:szCs w:val="18"/>
                <w:color w:val="auto"/>
              </w:rPr>
              <w:t>Forfeited</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(258 )</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42"/>
        </w:trPr>
        <w:tc>
          <w:tcPr>
            <w:tcW w:w="7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Unvested at December 31, 2020</w:t>
            </w:r>
          </w:p>
        </w:tc>
        <w:tc>
          <w:tcPr>
            <w:tcW w:w="120" w:type="dxa"/>
            <w:vAlign w:val="bottom"/>
            <w:shd w:val="clear" w:color="auto" w:fill="CFF0FC"/>
          </w:tcPr>
          <w:p>
            <w:pPr>
              <w:spacing w:after="0"/>
              <w:rPr>
                <w:sz w:val="21"/>
                <w:szCs w:val="21"/>
                <w:color w:val="auto"/>
              </w:rPr>
            </w:pPr>
          </w:p>
        </w:tc>
        <w:tc>
          <w:tcPr>
            <w:tcW w:w="1700" w:type="dxa"/>
            <w:vAlign w:val="bottom"/>
            <w:tcBorders>
              <w:top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1,571</w:t>
            </w:r>
          </w:p>
        </w:tc>
        <w:tc>
          <w:tcPr>
            <w:tcW w:w="180" w:type="dxa"/>
            <w:vAlign w:val="bottom"/>
            <w:shd w:val="clear" w:color="auto" w:fill="CFF0FC"/>
          </w:tcPr>
          <w:p>
            <w:pPr>
              <w:spacing w:after="0"/>
              <w:rPr>
                <w:sz w:val="21"/>
                <w:szCs w:val="21"/>
                <w:color w:val="auto"/>
              </w:rPr>
            </w:pPr>
          </w:p>
        </w:tc>
        <w:tc>
          <w:tcPr>
            <w:tcW w:w="280" w:type="dxa"/>
            <w:vAlign w:val="bottom"/>
            <w:tcBorders>
              <w:top w:val="single" w:sz="8" w:color="auto"/>
            </w:tcBorders>
            <w:shd w:val="clear" w:color="auto" w:fill="CFF0FC"/>
          </w:tcPr>
          <w:p>
            <w:pPr>
              <w:spacing w:after="0"/>
              <w:rPr>
                <w:sz w:val="21"/>
                <w:szCs w:val="21"/>
                <w:color w:val="auto"/>
              </w:rPr>
            </w:pPr>
          </w:p>
        </w:tc>
        <w:tc>
          <w:tcPr>
            <w:tcW w:w="142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36"/>
        </w:trPr>
        <w:tc>
          <w:tcPr>
            <w:tcW w:w="7540" w:type="dxa"/>
            <w:vAlign w:val="bottom"/>
          </w:tcPr>
          <w:p>
            <w:pPr>
              <w:ind w:left="120"/>
              <w:spacing w:after="0"/>
              <w:rPr>
                <w:sz w:val="20"/>
                <w:szCs w:val="20"/>
                <w:color w:val="auto"/>
              </w:rPr>
            </w:pPr>
            <w:r>
              <w:rPr>
                <w:rFonts w:ascii="Arial" w:cs="Arial" w:eastAsia="Arial" w:hAnsi="Arial"/>
                <w:sz w:val="18"/>
                <w:szCs w:val="18"/>
                <w:color w:val="auto"/>
              </w:rPr>
              <w:t>Granted</w:t>
            </w:r>
          </w:p>
        </w:tc>
        <w:tc>
          <w:tcPr>
            <w:tcW w:w="1820" w:type="dxa"/>
            <w:vAlign w:val="bottom"/>
            <w:gridSpan w:val="2"/>
          </w:tcPr>
          <w:p>
            <w:pPr>
              <w:jc w:val="right"/>
              <w:ind w:right="36"/>
              <w:spacing w:after="0"/>
              <w:rPr>
                <w:sz w:val="20"/>
                <w:szCs w:val="20"/>
                <w:color w:val="auto"/>
              </w:rPr>
            </w:pPr>
            <w:r>
              <w:rPr>
                <w:rFonts w:ascii="Arial" w:cs="Arial" w:eastAsia="Arial" w:hAnsi="Arial"/>
                <w:sz w:val="18"/>
                <w:szCs w:val="18"/>
                <w:color w:val="auto"/>
              </w:rPr>
              <w:t>1,151</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49"/>
        </w:trPr>
        <w:tc>
          <w:tcPr>
            <w:tcW w:w="75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Vested and distributed</w:t>
            </w:r>
          </w:p>
        </w:tc>
        <w:tc>
          <w:tcPr>
            <w:tcW w:w="1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(709 )</w:t>
            </w:r>
          </w:p>
        </w:tc>
        <w:tc>
          <w:tcPr>
            <w:tcW w:w="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36"/>
        </w:trPr>
        <w:tc>
          <w:tcPr>
            <w:tcW w:w="7540" w:type="dxa"/>
            <w:vAlign w:val="bottom"/>
          </w:tcPr>
          <w:p>
            <w:pPr>
              <w:ind w:left="120"/>
              <w:spacing w:after="0"/>
              <w:rPr>
                <w:sz w:val="20"/>
                <w:szCs w:val="20"/>
                <w:color w:val="auto"/>
              </w:rPr>
            </w:pPr>
            <w:r>
              <w:rPr>
                <w:rFonts w:ascii="Arial" w:cs="Arial" w:eastAsia="Arial" w:hAnsi="Arial"/>
                <w:sz w:val="18"/>
                <w:szCs w:val="18"/>
                <w:color w:val="auto"/>
              </w:rPr>
              <w:t>Forfeited</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(239 )</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42"/>
        </w:trPr>
        <w:tc>
          <w:tcPr>
            <w:tcW w:w="7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Unvested at December 31, 2021</w:t>
            </w:r>
          </w:p>
        </w:tc>
        <w:tc>
          <w:tcPr>
            <w:tcW w:w="120" w:type="dxa"/>
            <w:vAlign w:val="bottom"/>
            <w:shd w:val="clear" w:color="auto" w:fill="CFF0FC"/>
          </w:tcPr>
          <w:p>
            <w:pPr>
              <w:spacing w:after="0"/>
              <w:rPr>
                <w:sz w:val="21"/>
                <w:szCs w:val="21"/>
                <w:color w:val="auto"/>
              </w:rPr>
            </w:pPr>
          </w:p>
        </w:tc>
        <w:tc>
          <w:tcPr>
            <w:tcW w:w="1700" w:type="dxa"/>
            <w:vAlign w:val="bottom"/>
            <w:tcBorders>
              <w:top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1,774</w:t>
            </w:r>
          </w:p>
        </w:tc>
        <w:tc>
          <w:tcPr>
            <w:tcW w:w="180" w:type="dxa"/>
            <w:vAlign w:val="bottom"/>
            <w:shd w:val="clear" w:color="auto" w:fill="CFF0FC"/>
          </w:tcPr>
          <w:p>
            <w:pPr>
              <w:spacing w:after="0"/>
              <w:rPr>
                <w:sz w:val="21"/>
                <w:szCs w:val="21"/>
                <w:color w:val="auto"/>
              </w:rPr>
            </w:pPr>
          </w:p>
        </w:tc>
        <w:tc>
          <w:tcPr>
            <w:tcW w:w="280" w:type="dxa"/>
            <w:vAlign w:val="bottom"/>
            <w:tcBorders>
              <w:top w:val="single" w:sz="8" w:color="auto"/>
            </w:tcBorders>
            <w:shd w:val="clear" w:color="auto" w:fill="CFF0FC"/>
          </w:tcPr>
          <w:p>
            <w:pPr>
              <w:spacing w:after="0"/>
              <w:rPr>
                <w:sz w:val="21"/>
                <w:szCs w:val="21"/>
                <w:color w:val="auto"/>
              </w:rPr>
            </w:pPr>
          </w:p>
        </w:tc>
        <w:tc>
          <w:tcPr>
            <w:tcW w:w="142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36"/>
        </w:trPr>
        <w:tc>
          <w:tcPr>
            <w:tcW w:w="7540" w:type="dxa"/>
            <w:vAlign w:val="bottom"/>
          </w:tcPr>
          <w:p>
            <w:pPr>
              <w:ind w:left="120"/>
              <w:spacing w:after="0"/>
              <w:rPr>
                <w:sz w:val="20"/>
                <w:szCs w:val="20"/>
                <w:color w:val="auto"/>
              </w:rPr>
            </w:pPr>
            <w:r>
              <w:rPr>
                <w:rFonts w:ascii="Arial" w:cs="Arial" w:eastAsia="Arial" w:hAnsi="Arial"/>
                <w:sz w:val="18"/>
                <w:szCs w:val="18"/>
                <w:color w:val="auto"/>
              </w:rPr>
              <w:t>Granted</w:t>
            </w:r>
          </w:p>
        </w:tc>
        <w:tc>
          <w:tcPr>
            <w:tcW w:w="1820" w:type="dxa"/>
            <w:vAlign w:val="bottom"/>
            <w:gridSpan w:val="2"/>
          </w:tcPr>
          <w:p>
            <w:pPr>
              <w:jc w:val="right"/>
              <w:ind w:right="36"/>
              <w:spacing w:after="0"/>
              <w:rPr>
                <w:sz w:val="20"/>
                <w:szCs w:val="20"/>
                <w:color w:val="auto"/>
              </w:rPr>
            </w:pPr>
            <w:r>
              <w:rPr>
                <w:rFonts w:ascii="Arial" w:cs="Arial" w:eastAsia="Arial" w:hAnsi="Arial"/>
                <w:sz w:val="18"/>
                <w:szCs w:val="18"/>
                <w:color w:val="auto"/>
              </w:rPr>
              <w:t>662</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9.39</w:t>
            </w:r>
          </w:p>
        </w:tc>
        <w:tc>
          <w:tcPr>
            <w:tcW w:w="0" w:type="dxa"/>
            <w:vAlign w:val="bottom"/>
          </w:tcPr>
          <w:p>
            <w:pPr>
              <w:spacing w:after="0"/>
              <w:rPr>
                <w:sz w:val="1"/>
                <w:szCs w:val="1"/>
                <w:color w:val="auto"/>
              </w:rPr>
            </w:pPr>
          </w:p>
        </w:tc>
      </w:tr>
      <w:tr>
        <w:trPr>
          <w:trHeight w:val="249"/>
        </w:trPr>
        <w:tc>
          <w:tcPr>
            <w:tcW w:w="75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Vested and distributed</w:t>
            </w:r>
          </w:p>
        </w:tc>
        <w:tc>
          <w:tcPr>
            <w:tcW w:w="1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(580 )</w:t>
            </w:r>
          </w:p>
        </w:tc>
        <w:tc>
          <w:tcPr>
            <w:tcW w:w="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36"/>
        </w:trPr>
        <w:tc>
          <w:tcPr>
            <w:tcW w:w="7540" w:type="dxa"/>
            <w:vAlign w:val="bottom"/>
          </w:tcPr>
          <w:p>
            <w:pPr>
              <w:ind w:left="120"/>
              <w:spacing w:after="0"/>
              <w:rPr>
                <w:sz w:val="20"/>
                <w:szCs w:val="20"/>
                <w:color w:val="auto"/>
              </w:rPr>
            </w:pPr>
            <w:r>
              <w:rPr>
                <w:rFonts w:ascii="Arial" w:cs="Arial" w:eastAsia="Arial" w:hAnsi="Arial"/>
                <w:sz w:val="18"/>
                <w:szCs w:val="18"/>
                <w:color w:val="auto"/>
              </w:rPr>
              <w:t>Forfeited</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(81 )</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276"/>
        </w:trPr>
        <w:tc>
          <w:tcPr>
            <w:tcW w:w="75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Unvested at December 31, 2022</w:t>
            </w:r>
          </w:p>
        </w:tc>
        <w:tc>
          <w:tcPr>
            <w:tcW w:w="120" w:type="dxa"/>
            <w:vAlign w:val="bottom"/>
            <w:tcBorders>
              <w:bottom w:val="single" w:sz="8" w:color="CFF0FC"/>
            </w:tcBorders>
            <w:shd w:val="clear" w:color="auto" w:fill="CFF0FC"/>
          </w:tcPr>
          <w:p>
            <w:pPr>
              <w:spacing w:after="0"/>
              <w:rPr>
                <w:sz w:val="24"/>
                <w:szCs w:val="24"/>
                <w:color w:val="auto"/>
              </w:rPr>
            </w:pPr>
          </w:p>
        </w:tc>
        <w:tc>
          <w:tcPr>
            <w:tcW w:w="170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1,775</w:t>
            </w:r>
          </w:p>
        </w:tc>
        <w:tc>
          <w:tcPr>
            <w:tcW w:w="18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5947410</wp:posOffset>
            </wp:positionH>
            <wp:positionV relativeFrom="paragraph">
              <wp:posOffset>-24765</wp:posOffset>
            </wp:positionV>
            <wp:extent cx="11112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5947410</wp:posOffset>
            </wp:positionH>
            <wp:positionV relativeFrom="paragraph">
              <wp:posOffset>-7620</wp:posOffset>
            </wp:positionV>
            <wp:extent cx="11112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8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 of December 31, 2022, all of the members of the Board of Directors have deferred receipt of the Common Stock underlying some or all of the restricted stock units they have been awarded until a later date, such as when the director ceases to serve on the Board or, under certain circumstances, upon a change of control. Thus, while some of these restricted stock units have vested, the directors have not yet received the underlying Common Stock. For the years ended December 31, 2022, 2021, and 2020, the total number of restricted stock units that are vested but for which the underlying Common Stock has not been distributed was 800,000, 570,000, and 580,000, respectively; these shares are shown as unvested in the above table.</w:t>
      </w:r>
    </w:p>
    <w:p>
      <w:pPr>
        <w:spacing w:after="0" w:line="11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intrinsic value of unvested shares as of December 31, 2022 was $4.5 million. The Company records expense on a straight-line basis over the vesting term. For the years ended December 31, 2022, 2021 and 2020, the Company recorded compensation expense for restricted stock and stock unit awards of $4.9 million, $3.8 million, and $2.9 million, respectively. Unrecognized compensation expense related to restricted stock and stock unit awards of $5.8 million at December 31, 2022 is expected to be recognized over a weighted-average period of 1.4 years.</w:t>
      </w:r>
    </w:p>
    <w:p>
      <w:pPr>
        <w:spacing w:after="0" w:line="12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vesting provisions for the restricted stock and stock unit awards and the related number of shares granted during the year ended December 31 are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1"/>
              </w:rPr>
              <w:t>Shares/units (in thousands)</w:t>
            </w:r>
          </w:p>
        </w:tc>
        <w:tc>
          <w:tcPr>
            <w:tcW w:w="1460" w:type="dxa"/>
            <w:vAlign w:val="bottom"/>
            <w:tcBorders>
              <w:bottom w:val="single" w:sz="8" w:color="auto"/>
            </w:tcBorders>
          </w:tcPr>
          <w:p>
            <w:pPr>
              <w:spacing w:after="0"/>
              <w:rPr>
                <w:sz w:val="15"/>
                <w:szCs w:val="15"/>
                <w:color w:val="auto"/>
              </w:rPr>
            </w:pPr>
          </w:p>
        </w:tc>
      </w:tr>
      <w:tr>
        <w:trPr>
          <w:trHeight w:val="169"/>
        </w:trPr>
        <w:tc>
          <w:tcPr>
            <w:tcW w:w="6700" w:type="dxa"/>
            <w:vAlign w:val="bottom"/>
            <w:gridSpan w:val="2"/>
          </w:tcPr>
          <w:p>
            <w:pPr>
              <w:ind w:left="20"/>
              <w:spacing w:after="0"/>
              <w:rPr>
                <w:sz w:val="20"/>
                <w:szCs w:val="20"/>
                <w:color w:val="auto"/>
              </w:rPr>
            </w:pPr>
            <w:r>
              <w:rPr>
                <w:rFonts w:ascii="Arial" w:cs="Arial" w:eastAsia="Arial" w:hAnsi="Arial"/>
                <w:sz w:val="14"/>
                <w:szCs w:val="14"/>
                <w:b w:val="1"/>
                <w:bCs w:val="1"/>
                <w:color w:val="auto"/>
              </w:rPr>
              <w:t>Vesting Terms</w:t>
            </w:r>
          </w:p>
        </w:tc>
        <w:tc>
          <w:tcPr>
            <w:tcW w:w="1360" w:type="dxa"/>
            <w:vAlign w:val="bottom"/>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1620" w:type="dxa"/>
            <w:vAlign w:val="bottom"/>
            <w:gridSpan w:val="3"/>
          </w:tcPr>
          <w:p>
            <w:pPr>
              <w:jc w:val="right"/>
              <w:ind w:right="53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1460" w:type="dxa"/>
            <w:vAlign w:val="bottom"/>
          </w:tcPr>
          <w:p>
            <w:pPr>
              <w:jc w:val="right"/>
              <w:ind w:right="553"/>
              <w:spacing w:after="0"/>
              <w:rPr>
                <w:sz w:val="20"/>
                <w:szCs w:val="20"/>
                <w:color w:val="auto"/>
              </w:rPr>
            </w:pPr>
            <w:r>
              <w:rPr>
                <w:rFonts w:ascii="Arial" w:cs="Arial" w:eastAsia="Arial" w:hAnsi="Arial"/>
                <w:sz w:val="14"/>
                <w:szCs w:val="14"/>
                <w:b w:val="1"/>
                <w:bCs w:val="1"/>
                <w:color w:val="auto"/>
              </w:rPr>
              <w:t>2020</w:t>
            </w:r>
          </w:p>
        </w:tc>
      </w:tr>
      <w:tr>
        <w:trPr>
          <w:trHeight w:val="236"/>
        </w:trPr>
        <w:tc>
          <w:tcPr>
            <w:tcW w:w="65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33.3% within 30 days and 33.3% on the 1 and 2 year anniversary of grant date</w:t>
            </w:r>
          </w:p>
        </w:tc>
        <w:tc>
          <w:tcPr>
            <w:tcW w:w="120" w:type="dxa"/>
            <w:vAlign w:val="bottom"/>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494</w:t>
            </w:r>
          </w:p>
        </w:tc>
        <w:tc>
          <w:tcPr>
            <w:tcW w:w="100" w:type="dxa"/>
            <w:vAlign w:val="bottom"/>
            <w:shd w:val="clear" w:color="auto" w:fill="CFF0FC"/>
          </w:tcPr>
          <w:p>
            <w:pPr>
              <w:spacing w:after="0"/>
              <w:rPr>
                <w:sz w:val="20"/>
                <w:szCs w:val="20"/>
                <w:color w:val="auto"/>
              </w:rPr>
            </w:pPr>
          </w:p>
        </w:tc>
        <w:tc>
          <w:tcPr>
            <w:tcW w:w="146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12</w:t>
            </w:r>
          </w:p>
        </w:tc>
      </w:tr>
      <w:tr>
        <w:trPr>
          <w:trHeight w:val="236"/>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20% per year for five years</w:t>
            </w:r>
          </w:p>
        </w:tc>
        <w:tc>
          <w:tcPr>
            <w:tcW w:w="1360" w:type="dxa"/>
            <w:vAlign w:val="bottom"/>
          </w:tcPr>
          <w:p>
            <w:pPr>
              <w:jc w:val="right"/>
              <w:spacing w:after="0"/>
              <w:rPr>
                <w:sz w:val="20"/>
                <w:szCs w:val="20"/>
                <w:color w:val="auto"/>
              </w:rPr>
            </w:pPr>
            <w:r>
              <w:rPr>
                <w:rFonts w:ascii="Arial" w:cs="Arial" w:eastAsia="Arial" w:hAnsi="Arial"/>
                <w:sz w:val="18"/>
                <w:szCs w:val="18"/>
                <w:color w:val="auto"/>
              </w:rPr>
              <w:t>150</w:t>
            </w:r>
          </w:p>
        </w:tc>
        <w:tc>
          <w:tcPr>
            <w:tcW w:w="1620" w:type="dxa"/>
            <w:vAlign w:val="bottom"/>
            <w:gridSpan w:val="3"/>
          </w:tcPr>
          <w:p>
            <w:pPr>
              <w:jc w:val="right"/>
              <w:ind w:right="30"/>
              <w:spacing w:after="0"/>
              <w:rPr>
                <w:sz w:val="20"/>
                <w:szCs w:val="20"/>
                <w:color w:val="auto"/>
              </w:rPr>
            </w:pPr>
            <w:r>
              <w:rPr>
                <w:rFonts w:ascii="Arial" w:cs="Arial" w:eastAsia="Arial" w:hAnsi="Arial"/>
                <w:sz w:val="18"/>
                <w:szCs w:val="18"/>
                <w:color w:val="auto"/>
              </w:rPr>
              <w:t>492</w:t>
            </w:r>
          </w:p>
        </w:tc>
        <w:tc>
          <w:tcPr>
            <w:tcW w:w="100" w:type="dxa"/>
            <w:vAlign w:val="bottom"/>
          </w:tcPr>
          <w:p>
            <w:pPr>
              <w:spacing w:after="0"/>
              <w:rPr>
                <w:sz w:val="20"/>
                <w:szCs w:val="20"/>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w:t>
            </w:r>
          </w:p>
        </w:tc>
      </w:tr>
      <w:tr>
        <w:trPr>
          <w:trHeight w:val="249"/>
        </w:trPr>
        <w:tc>
          <w:tcPr>
            <w:tcW w:w="67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100% immediately</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1620" w:type="dxa"/>
            <w:vAlign w:val="bottom"/>
            <w:gridSpan w:val="3"/>
            <w:shd w:val="clear" w:color="auto" w:fill="CFF0FC"/>
          </w:tcPr>
          <w:p>
            <w:pPr>
              <w:jc w:val="right"/>
              <w:ind w:right="30"/>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129</w:t>
            </w:r>
          </w:p>
        </w:tc>
      </w:tr>
      <w:tr>
        <w:trPr>
          <w:trHeight w:val="236"/>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25% immediately and 25% on the 1, 2 and 3 year anniversary of grant date</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1,500</w:t>
            </w:r>
          </w:p>
        </w:tc>
      </w:tr>
      <w:tr>
        <w:trPr>
          <w:trHeight w:val="243"/>
        </w:trPr>
        <w:tc>
          <w:tcPr>
            <w:tcW w:w="670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Other various vesting terms</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15</w:t>
            </w:r>
          </w:p>
        </w:tc>
      </w:tr>
      <w:tr>
        <w:trPr>
          <w:trHeight w:val="236"/>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Total restricted stock and stock units granted</w:t>
            </w:r>
          </w:p>
        </w:tc>
        <w:tc>
          <w:tcPr>
            <w:tcW w:w="1360" w:type="dxa"/>
            <w:vAlign w:val="bottom"/>
          </w:tcPr>
          <w:p>
            <w:pPr>
              <w:jc w:val="right"/>
              <w:spacing w:after="0"/>
              <w:rPr>
                <w:sz w:val="20"/>
                <w:szCs w:val="20"/>
                <w:color w:val="auto"/>
              </w:rPr>
            </w:pPr>
            <w:r>
              <w:rPr>
                <w:rFonts w:ascii="Arial" w:cs="Arial" w:eastAsia="Arial" w:hAnsi="Arial"/>
                <w:sz w:val="18"/>
                <w:szCs w:val="18"/>
                <w:color w:val="auto"/>
              </w:rPr>
              <w:t>662</w:t>
            </w:r>
          </w:p>
        </w:tc>
        <w:tc>
          <w:tcPr>
            <w:tcW w:w="1620" w:type="dxa"/>
            <w:vAlign w:val="bottom"/>
            <w:gridSpan w:val="3"/>
          </w:tcPr>
          <w:p>
            <w:pPr>
              <w:jc w:val="right"/>
              <w:ind w:right="30"/>
              <w:spacing w:after="0"/>
              <w:rPr>
                <w:sz w:val="20"/>
                <w:szCs w:val="20"/>
                <w:color w:val="auto"/>
              </w:rPr>
            </w:pPr>
            <w:r>
              <w:rPr>
                <w:rFonts w:ascii="Arial" w:cs="Arial" w:eastAsia="Arial" w:hAnsi="Arial"/>
                <w:sz w:val="18"/>
                <w:szCs w:val="18"/>
                <w:color w:val="auto"/>
              </w:rPr>
              <w:t>1,151</w:t>
            </w:r>
          </w:p>
        </w:tc>
        <w:tc>
          <w:tcPr>
            <w:tcW w:w="100" w:type="dxa"/>
            <w:vAlign w:val="bottom"/>
          </w:tcPr>
          <w:p>
            <w:pPr>
              <w:spacing w:after="0"/>
              <w:rPr>
                <w:sz w:val="20"/>
                <w:szCs w:val="20"/>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1,656</w:t>
            </w:r>
          </w:p>
        </w:tc>
      </w:tr>
      <w:tr>
        <w:trPr>
          <w:trHeight w:val="20"/>
        </w:trPr>
        <w:tc>
          <w:tcPr>
            <w:tcW w:w="6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5176520</wp:posOffset>
            </wp:positionH>
            <wp:positionV relativeFrom="paragraph">
              <wp:posOffset>-187960</wp:posOffset>
            </wp:positionV>
            <wp:extent cx="76835" cy="18859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-187960</wp:posOffset>
            </wp:positionV>
            <wp:extent cx="68580" cy="18859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1" w:lineRule="exact"/>
        <w:rPr>
          <w:sz w:val="20"/>
          <w:szCs w:val="20"/>
          <w:color w:val="auto"/>
        </w:rPr>
      </w:pPr>
    </w:p>
    <w:p>
      <w:pPr>
        <w:jc w:val="both"/>
        <w:ind w:right="20"/>
        <w:spacing w:after="0" w:line="307" w:lineRule="auto"/>
        <w:rPr>
          <w:sz w:val="20"/>
          <w:szCs w:val="20"/>
          <w:color w:val="auto"/>
        </w:rPr>
      </w:pPr>
      <w:r>
        <w:rPr>
          <w:rFonts w:ascii="Arial" w:cs="Arial" w:eastAsia="Arial" w:hAnsi="Arial"/>
          <w:sz w:val="17"/>
          <w:szCs w:val="17"/>
          <w:color w:val="auto"/>
        </w:rPr>
        <w:t>The fair value of non-vested shares is determined based on the closing trading price of our shares on the grant date. The fair value of shares vested and distributed during the years ended December 31, 2022, 2021 and 2020 was $3.3 million, $3.7 million, and $4.5 million, respectively.</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8. Income Taxes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Deferred tax assets (liabilities) were comprised of the following at December 31:</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2021</w:t>
            </w:r>
            <w:r>
              <w:rPr>
                <w:rFonts w:ascii="Arial" w:cs="Arial" w:eastAsia="Arial" w:hAnsi="Arial"/>
                <w:sz w:val="19"/>
                <w:szCs w:val="19"/>
                <w:b w:val="1"/>
                <w:bCs w:val="1"/>
                <w:color w:val="auto"/>
                <w:vertAlign w:val="superscript"/>
              </w:rPr>
              <w:t>(a)</w:t>
            </w:r>
          </w:p>
        </w:tc>
        <w:tc>
          <w:tcPr>
            <w:tcW w:w="0" w:type="dxa"/>
            <w:vAlign w:val="bottom"/>
          </w:tcPr>
          <w:p>
            <w:pPr>
              <w:spacing w:after="0"/>
              <w:rPr>
                <w:sz w:val="1"/>
                <w:szCs w:val="1"/>
                <w:color w:val="auto"/>
              </w:rPr>
            </w:pPr>
          </w:p>
        </w:tc>
      </w:tr>
      <w:tr>
        <w:trPr>
          <w:trHeight w:val="236"/>
        </w:trPr>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Depreciation</w:t>
            </w: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(146.8 )</w:t>
            </w:r>
          </w:p>
        </w:tc>
        <w:tc>
          <w:tcPr>
            <w:tcW w:w="16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(104.5 )</w:t>
            </w:r>
          </w:p>
        </w:tc>
        <w:tc>
          <w:tcPr>
            <w:tcW w:w="0" w:type="dxa"/>
            <w:vAlign w:val="bottom"/>
          </w:tcPr>
          <w:p>
            <w:pPr>
              <w:spacing w:after="0"/>
              <w:rPr>
                <w:sz w:val="1"/>
                <w:szCs w:val="1"/>
                <w:color w:val="auto"/>
              </w:rPr>
            </w:pPr>
          </w:p>
        </w:tc>
      </w:tr>
      <w:tr>
        <w:trPr>
          <w:trHeight w:val="236"/>
        </w:trPr>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(35.1 )</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(42.1 )</w:t>
            </w: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including debt and interest</w:t>
            </w: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(19.5 )</w:t>
            </w:r>
          </w:p>
        </w:tc>
        <w:tc>
          <w:tcPr>
            <w:tcW w:w="1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(16.4 )</w:t>
            </w:r>
          </w:p>
        </w:tc>
        <w:tc>
          <w:tcPr>
            <w:tcW w:w="0" w:type="dxa"/>
            <w:vAlign w:val="bottom"/>
          </w:tcPr>
          <w:p>
            <w:pPr>
              <w:spacing w:after="0"/>
              <w:rPr>
                <w:sz w:val="1"/>
                <w:szCs w:val="1"/>
                <w:color w:val="auto"/>
              </w:rPr>
            </w:pPr>
          </w:p>
        </w:tc>
      </w:tr>
      <w:tr>
        <w:trPr>
          <w:trHeight w:val="236"/>
        </w:trPr>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940" w:type="dxa"/>
            <w:vAlign w:val="bottom"/>
          </w:tcPr>
          <w:p>
            <w:pPr>
              <w:ind w:left="180"/>
              <w:spacing w:after="0"/>
              <w:rPr>
                <w:sz w:val="20"/>
                <w:szCs w:val="20"/>
                <w:color w:val="auto"/>
              </w:rPr>
            </w:pPr>
            <w:r>
              <w:rPr>
                <w:rFonts w:ascii="Arial" w:cs="Arial" w:eastAsia="Arial" w:hAnsi="Arial"/>
                <w:sz w:val="18"/>
                <w:szCs w:val="18"/>
                <w:color w:val="auto"/>
              </w:rPr>
              <w:t>Deferred tax liabilities</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(201.4 )</w:t>
            </w: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(163.0 )</w:t>
            </w:r>
          </w:p>
        </w:tc>
        <w:tc>
          <w:tcPr>
            <w:tcW w:w="0" w:type="dxa"/>
            <w:vAlign w:val="bottom"/>
          </w:tcPr>
          <w:p>
            <w:pPr>
              <w:spacing w:after="0"/>
              <w:rPr>
                <w:sz w:val="1"/>
                <w:szCs w:val="1"/>
                <w:color w:val="auto"/>
              </w:rPr>
            </w:pPr>
          </w:p>
        </w:tc>
      </w:tr>
      <w:tr>
        <w:trPr>
          <w:trHeight w:val="242"/>
        </w:trPr>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Claims and insurance</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90.6</w:t>
            </w: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236"/>
        </w:trPr>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Net operating loss carryforwards</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229.7</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49"/>
        </w:trPr>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Section 163(j) interest limitation carryforwards</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50.3</w:t>
            </w: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36"/>
        </w:trPr>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Employee benefit accruals</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66.9</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49"/>
        </w:trPr>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Lease financing obligations</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53.3</w:t>
            </w: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36"/>
        </w:trPr>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39.3</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49"/>
        </w:trPr>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Employer payroll taxes</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36"/>
        </w:trPr>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Other, including debt and interest</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17.1</w:t>
            </w: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36"/>
        </w:trPr>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9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Deferred tax assets</w:t>
            </w:r>
          </w:p>
        </w:tc>
        <w:tc>
          <w:tcPr>
            <w:tcW w:w="1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547.2</w:t>
            </w:r>
          </w:p>
        </w:tc>
        <w:tc>
          <w:tcPr>
            <w:tcW w:w="1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rPr>
              <w:t>492.5</w:t>
            </w:r>
          </w:p>
        </w:tc>
        <w:tc>
          <w:tcPr>
            <w:tcW w:w="0" w:type="dxa"/>
            <w:vAlign w:val="bottom"/>
          </w:tcPr>
          <w:p>
            <w:pPr>
              <w:spacing w:after="0"/>
              <w:rPr>
                <w:sz w:val="1"/>
                <w:szCs w:val="1"/>
                <w:color w:val="auto"/>
              </w:rPr>
            </w:pPr>
          </w:p>
        </w:tc>
      </w:tr>
      <w:tr>
        <w:trPr>
          <w:trHeight w:val="236"/>
        </w:trPr>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Valuation allowance</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(345.5 )</w:t>
            </w: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(328.1 )</w:t>
            </w:r>
          </w:p>
        </w:tc>
        <w:tc>
          <w:tcPr>
            <w:tcW w:w="0" w:type="dxa"/>
            <w:vAlign w:val="bottom"/>
          </w:tcPr>
          <w:p>
            <w:pPr>
              <w:spacing w:after="0"/>
              <w:rPr>
                <w:sz w:val="1"/>
                <w:szCs w:val="1"/>
                <w:color w:val="auto"/>
              </w:rPr>
            </w:pPr>
          </w:p>
        </w:tc>
      </w:tr>
      <w:tr>
        <w:trPr>
          <w:trHeight w:val="236"/>
        </w:trPr>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9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Net deferred tax assets</w:t>
            </w:r>
          </w:p>
        </w:tc>
        <w:tc>
          <w:tcPr>
            <w:tcW w:w="1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201.7</w:t>
            </w:r>
          </w:p>
        </w:tc>
        <w:tc>
          <w:tcPr>
            <w:tcW w:w="1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rPr>
              <w:t>164.4</w:t>
            </w:r>
          </w:p>
        </w:tc>
        <w:tc>
          <w:tcPr>
            <w:tcW w:w="0" w:type="dxa"/>
            <w:vAlign w:val="bottom"/>
          </w:tcPr>
          <w:p>
            <w:pPr>
              <w:spacing w:after="0"/>
              <w:rPr>
                <w:sz w:val="1"/>
                <w:szCs w:val="1"/>
                <w:color w:val="auto"/>
              </w:rPr>
            </w:pPr>
          </w:p>
        </w:tc>
      </w:tr>
      <w:tr>
        <w:trPr>
          <w:trHeight w:val="236"/>
        </w:trPr>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Net deferred tax asset</w:t>
            </w: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0.3</w:t>
            </w:r>
          </w:p>
        </w:tc>
        <w:tc>
          <w:tcPr>
            <w:tcW w:w="42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260" w:type="dxa"/>
            <w:vAlign w:val="bottom"/>
            <w:vMerge w:val="restart"/>
          </w:tcPr>
          <w:p>
            <w:pPr>
              <w:spacing w:after="0"/>
              <w:rPr>
                <w:sz w:val="20"/>
                <w:szCs w:val="20"/>
                <w:color w:val="auto"/>
              </w:rPr>
            </w:pPr>
            <w:r>
              <w:rPr>
                <w:rFonts w:ascii="Arial" w:cs="Arial" w:eastAsia="Arial" w:hAnsi="Arial"/>
                <w:sz w:val="14"/>
                <w:szCs w:val="14"/>
                <w:color w:val="auto"/>
              </w:rPr>
              <w:t>a)</w:t>
            </w:r>
          </w:p>
        </w:tc>
        <w:tc>
          <w:tcPr>
            <w:tcW w:w="6820" w:type="dxa"/>
            <w:vAlign w:val="bottom"/>
            <w:gridSpan w:val="2"/>
            <w:vMerge w:val="restart"/>
          </w:tcPr>
          <w:p>
            <w:pPr>
              <w:ind w:left="120"/>
              <w:spacing w:after="0"/>
              <w:rPr>
                <w:sz w:val="20"/>
                <w:szCs w:val="20"/>
                <w:color w:val="auto"/>
              </w:rPr>
            </w:pPr>
            <w:r>
              <w:rPr>
                <w:rFonts w:ascii="Arial" w:cs="Arial" w:eastAsia="Arial" w:hAnsi="Arial"/>
                <w:sz w:val="14"/>
                <w:szCs w:val="14"/>
                <w:color w:val="auto"/>
              </w:rPr>
              <w:t>Certain reclasses have been made to the 2021 balances in this table to conform to the 2022 presentation.</w:t>
            </w: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60" w:type="dxa"/>
            <w:vAlign w:val="bottom"/>
            <w:vMerge w:val="continue"/>
          </w:tcPr>
          <w:p>
            <w:pPr>
              <w:spacing w:after="0"/>
              <w:rPr>
                <w:sz w:val="13"/>
                <w:szCs w:val="13"/>
                <w:color w:val="auto"/>
              </w:rPr>
            </w:pPr>
          </w:p>
        </w:tc>
        <w:tc>
          <w:tcPr>
            <w:tcW w:w="68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5476240</wp:posOffset>
            </wp:positionH>
            <wp:positionV relativeFrom="paragraph">
              <wp:posOffset>-2183765</wp:posOffset>
            </wp:positionV>
            <wp:extent cx="93980" cy="17145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-616585</wp:posOffset>
            </wp:positionV>
            <wp:extent cx="93980" cy="17145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-291465</wp:posOffset>
            </wp:positionV>
            <wp:extent cx="93980" cy="18859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93980" cy="188595"/>
                    </a:xfrm>
                    <a:prstGeom prst="rect">
                      <a:avLst/>
                    </a:prstGeom>
                    <a:noFill/>
                  </pic:spPr>
                </pic:pic>
              </a:graphicData>
            </a:graphic>
          </wp:anchor>
        </w:drawing>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Yellow Corporation is the parent of an affiliated group of corporations which join in the filing of a U.S. federal consolidated income tax return. Additionally, the Company files income tax returns in each state jurisdiction which imposes an income tax. The Company also files income tax returns in Canada and its provinces and other foreign jurisdictions; our other foreign jurisdictions income tax activity is immaterial. Cash paid, net of refunds received, for income taxes is nominal for all years presented.</w:t>
      </w:r>
    </w:p>
    <w:p>
      <w:pPr>
        <w:spacing w:after="0" w:line="14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of December 31, 2022, the Company has remaining federal net operating loss carryforwards of approximately $846.2 million. Deemed ownership changes that occurred in January 2014 and in prior years imposed annual and cumulative limits under the Internal Revenue Code on the utilization of these carryforwards. These limits are not expected to inhibit the Company’s ability to utilize these losses over their carry forward periods. Carryforwards of $655.0 million incurred prior to 2018 expire between 2030 and 2037. Pursuant to the Tax Cuts and Jobs Act of 2017, net operating losses incurred after 2017 are available to be carried forward indefinitely. As of December 31, 2022, the Company has only nominal amounts of general business and other credit carryforwards, which will likely not be utilized and will expire between 2027 and 2031 if not used.</w:t>
      </w:r>
    </w:p>
    <w:p>
      <w:pPr>
        <w:spacing w:after="0" w:line="149" w:lineRule="exact"/>
        <w:rPr>
          <w:sz w:val="20"/>
          <w:szCs w:val="20"/>
          <w:color w:val="auto"/>
        </w:rPr>
      </w:pPr>
    </w:p>
    <w:p>
      <w:pPr>
        <w:jc w:val="both"/>
        <w:spacing w:after="0" w:line="307" w:lineRule="auto"/>
        <w:rPr>
          <w:sz w:val="20"/>
          <w:szCs w:val="20"/>
          <w:color w:val="auto"/>
        </w:rPr>
      </w:pPr>
      <w:r>
        <w:rPr>
          <w:rFonts w:ascii="Arial" w:cs="Arial" w:eastAsia="Arial" w:hAnsi="Arial"/>
          <w:sz w:val="17"/>
          <w:szCs w:val="17"/>
          <w:color w:val="auto"/>
        </w:rPr>
        <w:t>As of December 31, 2022 and 2021, a valuation allowance of $345.5 million and $328.1 million, respectively, has been established for deferred tax assets because, based on available sources of future taxable income, it is more likely than not that those assets will not be realized.</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between income taxes at the federal statutory rate and the consolidated effective tax rate follows for the years ended December 31:</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40" w:type="dxa"/>
            <w:vAlign w:val="bottom"/>
          </w:tcPr>
          <w:p>
            <w:pPr>
              <w:spacing w:after="0"/>
              <w:rPr>
                <w:sz w:val="16"/>
                <w:szCs w:val="16"/>
                <w:color w:val="auto"/>
              </w:rPr>
            </w:pPr>
          </w:p>
        </w:tc>
        <w:tc>
          <w:tcPr>
            <w:tcW w:w="5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Federal statutory rate</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21.0 %</w:t>
            </w:r>
          </w:p>
        </w:tc>
        <w:tc>
          <w:tcPr>
            <w:tcW w:w="74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9"/>
              </w:rPr>
              <w:t>21.0 %</w:t>
            </w:r>
          </w:p>
        </w:tc>
        <w:tc>
          <w:tcPr>
            <w:tcW w:w="220" w:type="dxa"/>
            <w:vAlign w:val="bottom"/>
          </w:tcPr>
          <w:p>
            <w:pPr>
              <w:spacing w:after="0"/>
              <w:rPr>
                <w:sz w:val="19"/>
                <w:szCs w:val="19"/>
                <w:color w:val="auto"/>
              </w:rPr>
            </w:pPr>
          </w:p>
        </w:tc>
        <w:tc>
          <w:tcPr>
            <w:tcW w:w="2060" w:type="dxa"/>
            <w:vAlign w:val="bottom"/>
            <w:gridSpan w:val="2"/>
          </w:tcPr>
          <w:p>
            <w:pPr>
              <w:jc w:val="right"/>
              <w:ind w:right="1040"/>
              <w:spacing w:after="0"/>
              <w:rPr>
                <w:sz w:val="20"/>
                <w:szCs w:val="20"/>
                <w:color w:val="auto"/>
              </w:rPr>
            </w:pPr>
            <w:r>
              <w:rPr>
                <w:rFonts w:ascii="Arial" w:cs="Arial" w:eastAsia="Arial" w:hAnsi="Arial"/>
                <w:sz w:val="18"/>
                <w:szCs w:val="18"/>
                <w:color w:val="auto"/>
              </w:rPr>
              <w:t>21.0 %</w:t>
            </w:r>
          </w:p>
        </w:tc>
        <w:tc>
          <w:tcPr>
            <w:tcW w:w="0" w:type="dxa"/>
            <w:vAlign w:val="bottom"/>
          </w:tcPr>
          <w:p>
            <w:pPr>
              <w:spacing w:after="0"/>
              <w:rPr>
                <w:sz w:val="1"/>
                <w:szCs w:val="1"/>
                <w:color w:val="auto"/>
              </w:rPr>
            </w:pPr>
          </w:p>
        </w:tc>
      </w:tr>
      <w:tr>
        <w:trPr>
          <w:trHeight w:val="242"/>
        </w:trPr>
        <w:tc>
          <w:tcPr>
            <w:tcW w:w="1140" w:type="dxa"/>
            <w:vAlign w:val="bottom"/>
          </w:tcPr>
          <w:p>
            <w:pPr>
              <w:spacing w:after="0"/>
              <w:rPr>
                <w:sz w:val="21"/>
                <w:szCs w:val="21"/>
                <w:color w:val="auto"/>
              </w:rPr>
            </w:pPr>
          </w:p>
        </w:tc>
        <w:tc>
          <w:tcPr>
            <w:tcW w:w="5880" w:type="dxa"/>
            <w:vAlign w:val="bottom"/>
            <w:gridSpan w:val="3"/>
          </w:tcPr>
          <w:p>
            <w:pPr>
              <w:spacing w:after="0"/>
              <w:rPr>
                <w:sz w:val="20"/>
                <w:szCs w:val="20"/>
                <w:color w:val="auto"/>
              </w:rPr>
            </w:pPr>
            <w:r>
              <w:rPr>
                <w:rFonts w:ascii="Arial" w:cs="Arial" w:eastAsia="Arial" w:hAnsi="Arial"/>
                <w:sz w:val="18"/>
                <w:szCs w:val="18"/>
                <w:color w:val="auto"/>
              </w:rPr>
              <w:t>State income taxes, net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6.0 %</w:t>
            </w:r>
          </w:p>
        </w:tc>
        <w:tc>
          <w:tcPr>
            <w:tcW w:w="740" w:type="dxa"/>
            <w:vAlign w:val="bottom"/>
          </w:tcPr>
          <w:p>
            <w:pPr>
              <w:spacing w:after="0"/>
              <w:rPr>
                <w:sz w:val="21"/>
                <w:szCs w:val="21"/>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(1.1 %)</w:t>
            </w:r>
          </w:p>
        </w:tc>
        <w:tc>
          <w:tcPr>
            <w:tcW w:w="2060" w:type="dxa"/>
            <w:vAlign w:val="bottom"/>
            <w:gridSpan w:val="2"/>
          </w:tcPr>
          <w:p>
            <w:pPr>
              <w:jc w:val="right"/>
              <w:ind w:right="980"/>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5880" w:type="dxa"/>
            <w:vAlign w:val="bottom"/>
            <w:gridSpan w:val="3"/>
          </w:tcPr>
          <w:p>
            <w:pPr>
              <w:spacing w:after="0"/>
              <w:rPr>
                <w:sz w:val="20"/>
                <w:szCs w:val="20"/>
                <w:color w:val="auto"/>
              </w:rPr>
            </w:pPr>
            <w:r>
              <w:rPr>
                <w:rFonts w:ascii="Arial" w:cs="Arial" w:eastAsia="Arial" w:hAnsi="Arial"/>
                <w:sz w:val="18"/>
                <w:szCs w:val="18"/>
                <w:color w:val="auto"/>
              </w:rPr>
              <w:t>Foreign tax rate differential</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5.6 %</w:t>
            </w:r>
          </w:p>
        </w:tc>
        <w:tc>
          <w:tcPr>
            <w:tcW w:w="740" w:type="dxa"/>
            <w:vAlign w:val="bottom"/>
          </w:tcPr>
          <w:p>
            <w:pPr>
              <w:spacing w:after="0"/>
              <w:rPr>
                <w:sz w:val="21"/>
                <w:szCs w:val="21"/>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(1.3 %)</w:t>
            </w:r>
          </w:p>
        </w:tc>
        <w:tc>
          <w:tcPr>
            <w:tcW w:w="2060" w:type="dxa"/>
            <w:vAlign w:val="bottom"/>
            <w:gridSpan w:val="2"/>
          </w:tcPr>
          <w:p>
            <w:pPr>
              <w:jc w:val="right"/>
              <w:ind w:right="980"/>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5880" w:type="dxa"/>
            <w:vAlign w:val="bottom"/>
            <w:gridSpan w:val="3"/>
          </w:tcPr>
          <w:p>
            <w:pPr>
              <w:spacing w:after="0"/>
              <w:rPr>
                <w:sz w:val="20"/>
                <w:szCs w:val="20"/>
                <w:color w:val="auto"/>
              </w:rPr>
            </w:pPr>
            <w:r>
              <w:rPr>
                <w:rFonts w:ascii="Arial" w:cs="Arial" w:eastAsia="Arial" w:hAnsi="Arial"/>
                <w:sz w:val="18"/>
                <w:szCs w:val="18"/>
                <w:color w:val="auto"/>
              </w:rPr>
              <w:t>Non-deductible debt costs</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8.7 %</w:t>
            </w:r>
          </w:p>
        </w:tc>
        <w:tc>
          <w:tcPr>
            <w:tcW w:w="740" w:type="dxa"/>
            <w:vAlign w:val="bottom"/>
          </w:tcPr>
          <w:p>
            <w:pPr>
              <w:spacing w:after="0"/>
              <w:rPr>
                <w:sz w:val="21"/>
                <w:szCs w:val="21"/>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(2.2 %)</w:t>
            </w:r>
          </w:p>
        </w:tc>
        <w:tc>
          <w:tcPr>
            <w:tcW w:w="2060" w:type="dxa"/>
            <w:vAlign w:val="bottom"/>
            <w:gridSpan w:val="2"/>
          </w:tcPr>
          <w:p>
            <w:pPr>
              <w:jc w:val="right"/>
              <w:ind w:right="980"/>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5880" w:type="dxa"/>
            <w:vAlign w:val="bottom"/>
            <w:gridSpan w:val="3"/>
          </w:tcPr>
          <w:p>
            <w:pPr>
              <w:spacing w:after="0"/>
              <w:rPr>
                <w:sz w:val="20"/>
                <w:szCs w:val="20"/>
                <w:color w:val="auto"/>
              </w:rPr>
            </w:pPr>
            <w:r>
              <w:rPr>
                <w:rFonts w:ascii="Arial" w:cs="Arial" w:eastAsia="Arial" w:hAnsi="Arial"/>
                <w:sz w:val="18"/>
                <w:szCs w:val="18"/>
                <w:color w:val="auto"/>
              </w:rPr>
              <w:t>Non-deductible compensation</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4.6 %</w:t>
            </w:r>
          </w:p>
        </w:tc>
        <w:tc>
          <w:tcPr>
            <w:tcW w:w="740" w:type="dxa"/>
            <w:vAlign w:val="bottom"/>
          </w:tcPr>
          <w:p>
            <w:pPr>
              <w:spacing w:after="0"/>
              <w:rPr>
                <w:sz w:val="21"/>
                <w:szCs w:val="21"/>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(0.5 %)</w:t>
            </w:r>
          </w:p>
        </w:tc>
        <w:tc>
          <w:tcPr>
            <w:tcW w:w="2060" w:type="dxa"/>
            <w:vAlign w:val="bottom"/>
            <w:gridSpan w:val="2"/>
          </w:tcPr>
          <w:p>
            <w:pPr>
              <w:jc w:val="right"/>
              <w:ind w:right="980"/>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5880" w:type="dxa"/>
            <w:vAlign w:val="bottom"/>
            <w:gridSpan w:val="3"/>
          </w:tcPr>
          <w:p>
            <w:pPr>
              <w:spacing w:after="0"/>
              <w:rPr>
                <w:sz w:val="20"/>
                <w:szCs w:val="20"/>
                <w:color w:val="auto"/>
              </w:rPr>
            </w:pPr>
            <w:r>
              <w:rPr>
                <w:rFonts w:ascii="Arial" w:cs="Arial" w:eastAsia="Arial" w:hAnsi="Arial"/>
                <w:sz w:val="18"/>
                <w:szCs w:val="18"/>
                <w:color w:val="auto"/>
              </w:rPr>
              <w:t>Other permanent differences</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4.9 %</w:t>
            </w:r>
          </w:p>
        </w:tc>
        <w:tc>
          <w:tcPr>
            <w:tcW w:w="740" w:type="dxa"/>
            <w:vAlign w:val="bottom"/>
          </w:tcPr>
          <w:p>
            <w:pPr>
              <w:spacing w:after="0"/>
              <w:rPr>
                <w:sz w:val="21"/>
                <w:szCs w:val="21"/>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(0.3 %)</w:t>
            </w:r>
          </w:p>
        </w:tc>
        <w:tc>
          <w:tcPr>
            <w:tcW w:w="2060" w:type="dxa"/>
            <w:vAlign w:val="bottom"/>
            <w:gridSpan w:val="2"/>
          </w:tcPr>
          <w:p>
            <w:pPr>
              <w:jc w:val="right"/>
              <w:ind w:right="1040"/>
              <w:spacing w:after="0"/>
              <w:rPr>
                <w:sz w:val="20"/>
                <w:szCs w:val="20"/>
                <w:color w:val="auto"/>
              </w:rPr>
            </w:pPr>
            <w:r>
              <w:rPr>
                <w:rFonts w:ascii="Arial" w:cs="Arial" w:eastAsia="Arial" w:hAnsi="Arial"/>
                <w:sz w:val="18"/>
                <w:szCs w:val="18"/>
                <w:color w:val="auto"/>
              </w:rPr>
              <w:t>0.3 %</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5880" w:type="dxa"/>
            <w:vAlign w:val="bottom"/>
            <w:gridSpan w:val="3"/>
          </w:tcPr>
          <w:p>
            <w:pPr>
              <w:spacing w:after="0"/>
              <w:rPr>
                <w:sz w:val="20"/>
                <w:szCs w:val="20"/>
                <w:color w:val="auto"/>
              </w:rPr>
            </w:pPr>
            <w:r>
              <w:rPr>
                <w:rFonts w:ascii="Arial" w:cs="Arial" w:eastAsia="Arial" w:hAnsi="Arial"/>
                <w:sz w:val="18"/>
                <w:szCs w:val="18"/>
                <w:color w:val="auto"/>
              </w:rPr>
              <w:t>Effect of law and rate changes</w:t>
            </w:r>
          </w:p>
        </w:tc>
        <w:tc>
          <w:tcPr>
            <w:tcW w:w="1360" w:type="dxa"/>
            <w:vAlign w:val="bottom"/>
            <w:gridSpan w:val="3"/>
          </w:tcPr>
          <w:p>
            <w:pPr>
              <w:jc w:val="right"/>
              <w:ind w:right="648"/>
              <w:spacing w:after="0"/>
              <w:rPr>
                <w:sz w:val="20"/>
                <w:szCs w:val="20"/>
                <w:color w:val="auto"/>
              </w:rPr>
            </w:pPr>
            <w:r>
              <w:rPr>
                <w:rFonts w:ascii="Arial" w:cs="Arial" w:eastAsia="Arial" w:hAnsi="Arial"/>
                <w:sz w:val="18"/>
                <w:szCs w:val="18"/>
                <w:color w:val="auto"/>
                <w:w w:val="91"/>
              </w:rPr>
              <w:t>(54.8 %)</w:t>
            </w: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(4.6 %)</w:t>
            </w:r>
          </w:p>
        </w:tc>
        <w:tc>
          <w:tcPr>
            <w:tcW w:w="2060" w:type="dxa"/>
            <w:vAlign w:val="bottom"/>
            <w:gridSpan w:val="2"/>
          </w:tcPr>
          <w:p>
            <w:pPr>
              <w:jc w:val="right"/>
              <w:ind w:right="980"/>
              <w:spacing w:after="0"/>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5880" w:type="dxa"/>
            <w:vAlign w:val="bottom"/>
            <w:gridSpan w:val="3"/>
          </w:tcPr>
          <w:p>
            <w:pPr>
              <w:spacing w:after="0"/>
              <w:rPr>
                <w:sz w:val="20"/>
                <w:szCs w:val="20"/>
                <w:color w:val="auto"/>
              </w:rPr>
            </w:pPr>
            <w:r>
              <w:rPr>
                <w:rFonts w:ascii="Arial" w:cs="Arial" w:eastAsia="Arial" w:hAnsi="Arial"/>
                <w:sz w:val="18"/>
                <w:szCs w:val="18"/>
                <w:color w:val="auto"/>
              </w:rPr>
              <w:t>Valuation allowance</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21.0 %</w:t>
            </w:r>
          </w:p>
        </w:tc>
        <w:tc>
          <w:tcPr>
            <w:tcW w:w="740" w:type="dxa"/>
            <w:vAlign w:val="bottom"/>
          </w:tcPr>
          <w:p>
            <w:pPr>
              <w:spacing w:after="0"/>
              <w:rPr>
                <w:sz w:val="21"/>
                <w:szCs w:val="21"/>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w w:val="91"/>
              </w:rPr>
              <w:t>(14.1 %)</w:t>
            </w:r>
          </w:p>
        </w:tc>
        <w:tc>
          <w:tcPr>
            <w:tcW w:w="2060" w:type="dxa"/>
            <w:vAlign w:val="bottom"/>
            <w:gridSpan w:val="2"/>
          </w:tcPr>
          <w:p>
            <w:pPr>
              <w:jc w:val="right"/>
              <w:ind w:right="980"/>
              <w:spacing w:after="0"/>
              <w:rPr>
                <w:sz w:val="20"/>
                <w:szCs w:val="20"/>
                <w:color w:val="auto"/>
              </w:rPr>
            </w:pPr>
            <w:r>
              <w:rPr>
                <w:rFonts w:ascii="Arial" w:cs="Arial" w:eastAsia="Arial" w:hAnsi="Arial"/>
                <w:sz w:val="18"/>
                <w:szCs w:val="18"/>
                <w:color w:val="auto"/>
              </w:rPr>
              <w:t>(15.1 %)</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5880" w:type="dxa"/>
            <w:vAlign w:val="bottom"/>
            <w:gridSpan w:val="3"/>
          </w:tcPr>
          <w:p>
            <w:pPr>
              <w:spacing w:after="0"/>
              <w:rPr>
                <w:sz w:val="20"/>
                <w:szCs w:val="20"/>
                <w:color w:val="auto"/>
              </w:rPr>
            </w:pPr>
            <w:r>
              <w:rPr>
                <w:rFonts w:ascii="Arial" w:cs="Arial" w:eastAsia="Arial" w:hAnsi="Arial"/>
                <w:sz w:val="18"/>
                <w:szCs w:val="18"/>
                <w:color w:val="auto"/>
              </w:rPr>
              <w:t>Benefit from intraperiod tax allocation</w:t>
            </w:r>
          </w:p>
        </w:tc>
        <w:tc>
          <w:tcPr>
            <w:tcW w:w="1360" w:type="dxa"/>
            <w:vAlign w:val="bottom"/>
            <w:gridSpan w:val="3"/>
          </w:tcPr>
          <w:p>
            <w:pPr>
              <w:jc w:val="right"/>
              <w:ind w:right="648"/>
              <w:spacing w:after="0"/>
              <w:rPr>
                <w:sz w:val="20"/>
                <w:szCs w:val="20"/>
                <w:color w:val="auto"/>
              </w:rPr>
            </w:pPr>
            <w:r>
              <w:rPr>
                <w:rFonts w:ascii="Arial" w:cs="Arial" w:eastAsia="Arial" w:hAnsi="Arial"/>
                <w:sz w:val="18"/>
                <w:szCs w:val="18"/>
                <w:color w:val="auto"/>
              </w:rPr>
              <w:t>(— %)</w:t>
            </w:r>
          </w:p>
        </w:tc>
        <w:tc>
          <w:tcPr>
            <w:tcW w:w="800" w:type="dxa"/>
            <w:vAlign w:val="bottom"/>
            <w:gridSpan w:val="3"/>
          </w:tcPr>
          <w:p>
            <w:pPr>
              <w:jc w:val="right"/>
              <w:ind w:right="220"/>
              <w:spacing w:after="0"/>
              <w:rPr>
                <w:sz w:val="20"/>
                <w:szCs w:val="20"/>
                <w:color w:val="auto"/>
              </w:rPr>
            </w:pPr>
            <w:r>
              <w:rPr>
                <w:rFonts w:ascii="Arial" w:cs="Arial" w:eastAsia="Arial" w:hAnsi="Arial"/>
                <w:sz w:val="18"/>
                <w:szCs w:val="18"/>
                <w:color w:val="auto"/>
              </w:rPr>
              <w:t>— %</w:t>
            </w:r>
          </w:p>
        </w:tc>
        <w:tc>
          <w:tcPr>
            <w:tcW w:w="2060" w:type="dxa"/>
            <w:vAlign w:val="bottom"/>
            <w:gridSpan w:val="2"/>
          </w:tcPr>
          <w:p>
            <w:pPr>
              <w:jc w:val="right"/>
              <w:ind w:right="1040"/>
              <w:spacing w:after="0"/>
              <w:rPr>
                <w:sz w:val="20"/>
                <w:szCs w:val="20"/>
                <w:color w:val="auto"/>
              </w:rPr>
            </w:pPr>
            <w:r>
              <w:rPr>
                <w:rFonts w:ascii="Arial" w:cs="Arial" w:eastAsia="Arial" w:hAnsi="Arial"/>
                <w:sz w:val="18"/>
                <w:szCs w:val="18"/>
                <w:color w:val="auto"/>
              </w:rPr>
              <w:t>20.0 %</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5880" w:type="dxa"/>
            <w:vAlign w:val="bottom"/>
            <w:gridSpan w:val="3"/>
          </w:tcPr>
          <w:p>
            <w:pPr>
              <w:spacing w:after="0"/>
              <w:rPr>
                <w:sz w:val="20"/>
                <w:szCs w:val="20"/>
                <w:color w:val="auto"/>
              </w:rPr>
            </w:pPr>
            <w:r>
              <w:rPr>
                <w:rFonts w:ascii="Arial" w:cs="Arial" w:eastAsia="Arial" w:hAnsi="Arial"/>
                <w:sz w:val="18"/>
                <w:szCs w:val="18"/>
                <w:color w:val="auto"/>
              </w:rPr>
              <w:t>Net change in unrecognized tax benefits</w:t>
            </w:r>
          </w:p>
        </w:tc>
        <w:tc>
          <w:tcPr>
            <w:tcW w:w="1360" w:type="dxa"/>
            <w:vAlign w:val="bottom"/>
            <w:gridSpan w:val="3"/>
          </w:tcPr>
          <w:p>
            <w:pPr>
              <w:jc w:val="right"/>
              <w:ind w:right="648"/>
              <w:spacing w:after="0"/>
              <w:rPr>
                <w:sz w:val="20"/>
                <w:szCs w:val="20"/>
                <w:color w:val="auto"/>
              </w:rPr>
            </w:pPr>
            <w:r>
              <w:rPr>
                <w:rFonts w:ascii="Arial" w:cs="Arial" w:eastAsia="Arial" w:hAnsi="Arial"/>
                <w:sz w:val="18"/>
                <w:szCs w:val="18"/>
                <w:color w:val="auto"/>
              </w:rPr>
              <w:t>(0.1 )%</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0.3 %</w:t>
            </w:r>
          </w:p>
        </w:tc>
        <w:tc>
          <w:tcPr>
            <w:tcW w:w="220" w:type="dxa"/>
            <w:vAlign w:val="bottom"/>
          </w:tcPr>
          <w:p>
            <w:pPr>
              <w:spacing w:after="0"/>
              <w:rPr>
                <w:sz w:val="21"/>
                <w:szCs w:val="21"/>
                <w:color w:val="auto"/>
              </w:rPr>
            </w:pPr>
          </w:p>
        </w:tc>
        <w:tc>
          <w:tcPr>
            <w:tcW w:w="2060" w:type="dxa"/>
            <w:vAlign w:val="bottom"/>
            <w:gridSpan w:val="2"/>
          </w:tcPr>
          <w:p>
            <w:pPr>
              <w:jc w:val="right"/>
              <w:ind w:right="1040"/>
              <w:spacing w:after="0"/>
              <w:rPr>
                <w:sz w:val="20"/>
                <w:szCs w:val="20"/>
                <w:color w:val="auto"/>
              </w:rPr>
            </w:pPr>
            <w:r>
              <w:rPr>
                <w:rFonts w:ascii="Arial" w:cs="Arial" w:eastAsia="Arial" w:hAnsi="Arial"/>
                <w:sz w:val="18"/>
                <w:szCs w:val="18"/>
                <w:color w:val="auto"/>
              </w:rPr>
              <w:t>8.9 %</w:t>
            </w: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Other, net (primarily prior year return to provision)</w:t>
            </w:r>
          </w:p>
        </w:tc>
        <w:tc>
          <w:tcPr>
            <w:tcW w:w="740" w:type="dxa"/>
            <w:vAlign w:val="bottom"/>
          </w:tcPr>
          <w:p>
            <w:pPr>
              <w:spacing w:after="0"/>
              <w:rPr>
                <w:sz w:val="21"/>
                <w:szCs w:val="21"/>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0.8 %</w:t>
            </w:r>
          </w:p>
        </w:tc>
        <w:tc>
          <w:tcPr>
            <w:tcW w:w="740" w:type="dxa"/>
            <w:vAlign w:val="bottom"/>
          </w:tcPr>
          <w:p>
            <w:pPr>
              <w:spacing w:after="0"/>
              <w:rPr>
                <w:sz w:val="21"/>
                <w:szCs w:val="21"/>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(0.1 %)</w:t>
            </w:r>
          </w:p>
        </w:tc>
        <w:tc>
          <w:tcPr>
            <w:tcW w:w="2060" w:type="dxa"/>
            <w:vAlign w:val="bottom"/>
            <w:gridSpan w:val="2"/>
          </w:tcPr>
          <w:p>
            <w:pPr>
              <w:jc w:val="right"/>
              <w:ind w:right="1040"/>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140" w:type="dxa"/>
            <w:vAlign w:val="bottom"/>
          </w:tcPr>
          <w:p>
            <w:pPr>
              <w:spacing w:after="0"/>
              <w:rPr>
                <w:sz w:val="20"/>
                <w:szCs w:val="20"/>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Effective tax rate</w:t>
            </w:r>
          </w:p>
        </w:tc>
        <w:tc>
          <w:tcPr>
            <w:tcW w:w="740" w:type="dxa"/>
            <w:vAlign w:val="bottom"/>
          </w:tcPr>
          <w:p>
            <w:pPr>
              <w:spacing w:after="0"/>
              <w:rPr>
                <w:sz w:val="20"/>
                <w:szCs w:val="20"/>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17.7 %</w:t>
            </w:r>
          </w:p>
        </w:tc>
        <w:tc>
          <w:tcPr>
            <w:tcW w:w="740" w:type="dxa"/>
            <w:vAlign w:val="bottom"/>
          </w:tcPr>
          <w:p>
            <w:pPr>
              <w:spacing w:after="0"/>
              <w:rPr>
                <w:sz w:val="20"/>
                <w:szCs w:val="20"/>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color w:val="auto"/>
                <w:highlight w:val="white"/>
              </w:rPr>
              <w:t>%)</w:t>
            </w:r>
          </w:p>
        </w:tc>
        <w:tc>
          <w:tcPr>
            <w:tcW w:w="2060" w:type="dxa"/>
            <w:vAlign w:val="bottom"/>
            <w:gridSpan w:val="2"/>
          </w:tcPr>
          <w:p>
            <w:pPr>
              <w:jc w:val="right"/>
              <w:ind w:right="1040"/>
              <w:spacing w:after="0"/>
              <w:rPr>
                <w:sz w:val="20"/>
                <w:szCs w:val="20"/>
                <w:color w:val="auto"/>
              </w:rPr>
            </w:pPr>
            <w:r>
              <w:rPr>
                <w:rFonts w:ascii="Arial" w:cs="Arial" w:eastAsia="Arial" w:hAnsi="Arial"/>
                <w:sz w:val="18"/>
                <w:szCs w:val="18"/>
                <w:color w:val="auto"/>
              </w:rPr>
              <w:t>26.8 %</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40" w:type="dxa"/>
            <w:vAlign w:val="bottom"/>
            <w:vMerge w:val="restart"/>
          </w:tcPr>
          <w:p>
            <w:pPr>
              <w:ind w:left="440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4"/>
        </w:trPr>
        <w:tc>
          <w:tcPr>
            <w:tcW w:w="1140" w:type="dxa"/>
            <w:vAlign w:val="bottom"/>
          </w:tcPr>
          <w:p>
            <w:pPr>
              <w:spacing w:after="0"/>
              <w:rPr>
                <w:sz w:val="24"/>
                <w:szCs w:val="24"/>
                <w:color w:val="auto"/>
              </w:rPr>
            </w:pPr>
          </w:p>
        </w:tc>
        <w:tc>
          <w:tcPr>
            <w:tcW w:w="50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140" w:type="dxa"/>
            <w:vAlign w:val="bottom"/>
            <w:tcBorders>
              <w:bottom w:val="single" w:sz="8" w:color="9A9A9A"/>
            </w:tcBorders>
          </w:tcPr>
          <w:p>
            <w:pPr>
              <w:spacing w:after="0"/>
              <w:rPr>
                <w:sz w:val="8"/>
                <w:szCs w:val="8"/>
                <w:color w:val="auto"/>
              </w:rPr>
            </w:pPr>
          </w:p>
        </w:tc>
        <w:tc>
          <w:tcPr>
            <w:tcW w:w="50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-2371090</wp:posOffset>
            </wp:positionV>
            <wp:extent cx="5702300" cy="15430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702300" cy="154305"/>
                    </a:xfrm>
                    <a:prstGeom prst="rect">
                      <a:avLst/>
                    </a:prstGeom>
                    <a:noFill/>
                  </pic:spPr>
                </pic:pic>
              </a:graphicData>
            </a:graphic>
          </wp:anchor>
        </w:drawing>
        <w:drawing>
          <wp:anchor simplePos="0" relativeHeight="251657728" behindDoc="1" locked="0" layoutInCell="0" allowOverlap="1">
            <wp:simplePos x="0" y="0"/>
            <wp:positionH relativeFrom="column">
              <wp:posOffset>724535</wp:posOffset>
            </wp:positionH>
            <wp:positionV relativeFrom="paragraph">
              <wp:posOffset>-2063115</wp:posOffset>
            </wp:positionV>
            <wp:extent cx="5702300" cy="15430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702300" cy="154305"/>
                    </a:xfrm>
                    <a:prstGeom prst="rect">
                      <a:avLst/>
                    </a:prstGeom>
                    <a:noFill/>
                  </pic:spPr>
                </pic:pic>
              </a:graphicData>
            </a:graphic>
          </wp:anchor>
        </w:drawing>
        <w:drawing>
          <wp:anchor simplePos="0" relativeHeight="251657728" behindDoc="1" locked="0" layoutInCell="0" allowOverlap="1">
            <wp:simplePos x="0" y="0"/>
            <wp:positionH relativeFrom="column">
              <wp:posOffset>724535</wp:posOffset>
            </wp:positionH>
            <wp:positionV relativeFrom="paragraph">
              <wp:posOffset>-1754505</wp:posOffset>
            </wp:positionV>
            <wp:extent cx="5702300" cy="15430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702300" cy="154305"/>
                    </a:xfrm>
                    <a:prstGeom prst="rect">
                      <a:avLst/>
                    </a:prstGeom>
                    <a:noFill/>
                  </pic:spPr>
                </pic:pic>
              </a:graphicData>
            </a:graphic>
          </wp:anchor>
        </w:drawing>
        <w:drawing>
          <wp:anchor simplePos="0" relativeHeight="251657728" behindDoc="1" locked="0" layoutInCell="0" allowOverlap="1">
            <wp:simplePos x="0" y="0"/>
            <wp:positionH relativeFrom="column">
              <wp:posOffset>724535</wp:posOffset>
            </wp:positionH>
            <wp:positionV relativeFrom="paragraph">
              <wp:posOffset>-1446530</wp:posOffset>
            </wp:positionV>
            <wp:extent cx="5702300" cy="15430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702300" cy="154305"/>
                    </a:xfrm>
                    <a:prstGeom prst="rect">
                      <a:avLst/>
                    </a:prstGeom>
                    <a:noFill/>
                  </pic:spPr>
                </pic:pic>
              </a:graphicData>
            </a:graphic>
          </wp:anchor>
        </w:drawing>
        <w:drawing>
          <wp:anchor simplePos="0" relativeHeight="251657728" behindDoc="1" locked="0" layoutInCell="0" allowOverlap="1">
            <wp:simplePos x="0" y="0"/>
            <wp:positionH relativeFrom="column">
              <wp:posOffset>724535</wp:posOffset>
            </wp:positionH>
            <wp:positionV relativeFrom="paragraph">
              <wp:posOffset>-1137920</wp:posOffset>
            </wp:positionV>
            <wp:extent cx="5702300" cy="15430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702300" cy="154305"/>
                    </a:xfrm>
                    <a:prstGeom prst="rect">
                      <a:avLst/>
                    </a:prstGeom>
                    <a:noFill/>
                  </pic:spPr>
                </pic:pic>
              </a:graphicData>
            </a:graphic>
          </wp:anchor>
        </w:drawing>
        <w:drawing>
          <wp:anchor simplePos="0" relativeHeight="251657728" behindDoc="1" locked="0" layoutInCell="0" allowOverlap="1">
            <wp:simplePos x="0" y="0"/>
            <wp:positionH relativeFrom="column">
              <wp:posOffset>724535</wp:posOffset>
            </wp:positionH>
            <wp:positionV relativeFrom="paragraph">
              <wp:posOffset>-829945</wp:posOffset>
            </wp:positionV>
            <wp:extent cx="5702300" cy="34226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702300" cy="34226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t>The income tax provision (benefit) consisted of the following for the years ended December 31:</w:t>
      </w:r>
    </w:p>
    <w:p>
      <w:pPr>
        <w:spacing w:after="0" w:line="200" w:lineRule="exact"/>
        <w:rPr>
          <w:sz w:val="20"/>
          <w:szCs w:val="20"/>
          <w:color w:val="auto"/>
        </w:rPr>
      </w:pPr>
    </w:p>
    <w:p>
      <w:pPr>
        <w:spacing w:after="0" w:line="245"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5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r>
      <w:tr>
        <w:trPr>
          <w:trHeight w:val="236"/>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Current:</w:t>
            </w: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r>
      <w:tr>
        <w:trPr>
          <w:trHeight w:val="236"/>
        </w:trPr>
        <w:tc>
          <w:tcPr>
            <w:tcW w:w="5080" w:type="dxa"/>
            <w:vAlign w:val="bottom"/>
          </w:tcPr>
          <w:p>
            <w:pPr>
              <w:ind w:left="180"/>
              <w:spacing w:after="0"/>
              <w:rPr>
                <w:sz w:val="20"/>
                <w:szCs w:val="20"/>
                <w:color w:val="auto"/>
              </w:rPr>
            </w:pPr>
            <w:r>
              <w:rPr>
                <w:rFonts w:ascii="Arial" w:cs="Arial" w:eastAsia="Arial" w:hAnsi="Arial"/>
                <w:sz w:val="18"/>
                <w:szCs w:val="18"/>
                <w:color w:val="auto"/>
              </w:rPr>
              <w:t>Federal</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(6.2 )</w:t>
            </w:r>
          </w:p>
        </w:tc>
      </w:tr>
      <w:tr>
        <w:trPr>
          <w:trHeight w:val="249"/>
        </w:trPr>
        <w:tc>
          <w:tcPr>
            <w:tcW w:w="50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State</w:t>
            </w: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0.4</w:t>
            </w:r>
          </w:p>
        </w:tc>
      </w:tr>
      <w:tr>
        <w:trPr>
          <w:trHeight w:val="236"/>
        </w:trPr>
        <w:tc>
          <w:tcPr>
            <w:tcW w:w="5080" w:type="dxa"/>
            <w:vAlign w:val="bottom"/>
          </w:tcPr>
          <w:p>
            <w:pPr>
              <w:ind w:left="180"/>
              <w:spacing w:after="0"/>
              <w:rPr>
                <w:sz w:val="20"/>
                <w:szCs w:val="20"/>
                <w:color w:val="auto"/>
              </w:rPr>
            </w:pPr>
            <w:r>
              <w:rPr>
                <w:rFonts w:ascii="Arial" w:cs="Arial" w:eastAsia="Arial" w:hAnsi="Arial"/>
                <w:sz w:val="18"/>
                <w:szCs w:val="18"/>
                <w:color w:val="auto"/>
              </w:rPr>
              <w:t>Foreign</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w:t>
            </w:r>
          </w:p>
        </w:tc>
      </w:tr>
      <w:tr>
        <w:trPr>
          <w:trHeight w:val="242"/>
        </w:trPr>
        <w:tc>
          <w:tcPr>
            <w:tcW w:w="50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Current income tax expense (benefit)</w:t>
            </w: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5.1</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(4.7 )</w:t>
            </w:r>
          </w:p>
        </w:tc>
      </w:tr>
      <w:tr>
        <w:trPr>
          <w:trHeight w:val="243"/>
        </w:trPr>
        <w:tc>
          <w:tcPr>
            <w:tcW w:w="5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43"/>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Deferred:</w:t>
            </w: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r>
      <w:tr>
        <w:trPr>
          <w:trHeight w:val="236"/>
        </w:trPr>
        <w:tc>
          <w:tcPr>
            <w:tcW w:w="5080" w:type="dxa"/>
            <w:vAlign w:val="bottom"/>
          </w:tcPr>
          <w:p>
            <w:pPr>
              <w:ind w:left="180"/>
              <w:spacing w:after="0"/>
              <w:rPr>
                <w:sz w:val="20"/>
                <w:szCs w:val="20"/>
                <w:color w:val="auto"/>
              </w:rPr>
            </w:pPr>
            <w:r>
              <w:rPr>
                <w:rFonts w:ascii="Arial" w:cs="Arial" w:eastAsia="Arial" w:hAnsi="Arial"/>
                <w:sz w:val="18"/>
                <w:szCs w:val="18"/>
                <w:color w:val="auto"/>
              </w:rPr>
              <w:t>Federal</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(9.4 )</w:t>
            </w:r>
          </w:p>
        </w:tc>
      </w:tr>
      <w:tr>
        <w:trPr>
          <w:trHeight w:val="249"/>
        </w:trPr>
        <w:tc>
          <w:tcPr>
            <w:tcW w:w="50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State</w:t>
            </w: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(5.2 )</w:t>
            </w:r>
          </w:p>
        </w:tc>
      </w:tr>
      <w:tr>
        <w:trPr>
          <w:trHeight w:val="236"/>
        </w:trPr>
        <w:tc>
          <w:tcPr>
            <w:tcW w:w="5080" w:type="dxa"/>
            <w:vAlign w:val="bottom"/>
          </w:tcPr>
          <w:p>
            <w:pPr>
              <w:ind w:left="180"/>
              <w:spacing w:after="0"/>
              <w:rPr>
                <w:sz w:val="20"/>
                <w:szCs w:val="20"/>
                <w:color w:val="auto"/>
              </w:rPr>
            </w:pPr>
            <w:r>
              <w:rPr>
                <w:rFonts w:ascii="Arial" w:cs="Arial" w:eastAsia="Arial" w:hAnsi="Arial"/>
                <w:sz w:val="18"/>
                <w:szCs w:val="18"/>
                <w:color w:val="auto"/>
              </w:rPr>
              <w:t>Foreign</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(0.4 )</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(0.5 )</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(0.3 )</w:t>
            </w:r>
          </w:p>
        </w:tc>
      </w:tr>
      <w:tr>
        <w:trPr>
          <w:trHeight w:val="242"/>
        </w:trPr>
        <w:tc>
          <w:tcPr>
            <w:tcW w:w="50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Deferred income tax benefit</w:t>
            </w: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(0.4 )</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(0.5 )</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(14.9 )</w:t>
            </w:r>
          </w:p>
        </w:tc>
      </w:tr>
      <w:tr>
        <w:trPr>
          <w:trHeight w:val="243"/>
        </w:trPr>
        <w:tc>
          <w:tcPr>
            <w:tcW w:w="5080" w:type="dxa"/>
            <w:vAlign w:val="bottom"/>
          </w:tcPr>
          <w:p>
            <w:pPr>
              <w:spacing w:after="0"/>
              <w:rPr>
                <w:sz w:val="21"/>
                <w:szCs w:val="21"/>
                <w:color w:val="auto"/>
              </w:rPr>
            </w:pPr>
          </w:p>
        </w:tc>
        <w:tc>
          <w:tcPr>
            <w:tcW w:w="380" w:type="dxa"/>
            <w:vAlign w:val="bottom"/>
            <w:gridSpan w:val="2"/>
          </w:tcPr>
          <w:p>
            <w:pPr>
              <w:spacing w:after="0"/>
              <w:rPr>
                <w:sz w:val="21"/>
                <w:szCs w:val="21"/>
                <w:color w:val="auto"/>
              </w:rPr>
            </w:pPr>
          </w:p>
        </w:tc>
        <w:tc>
          <w:tcPr>
            <w:tcW w:w="940" w:type="dxa"/>
            <w:vAlign w:val="bottom"/>
          </w:tcPr>
          <w:p>
            <w:pPr>
              <w:spacing w:after="0"/>
              <w:rPr>
                <w:sz w:val="21"/>
                <w:szCs w:val="21"/>
                <w:color w:val="auto"/>
              </w:rPr>
            </w:pPr>
          </w:p>
        </w:tc>
        <w:tc>
          <w:tcPr>
            <w:tcW w:w="380" w:type="dxa"/>
            <w:vAlign w:val="bottom"/>
            <w:gridSpan w:val="2"/>
          </w:tcPr>
          <w:p>
            <w:pPr>
              <w:spacing w:after="0"/>
              <w:rPr>
                <w:sz w:val="21"/>
                <w:szCs w:val="21"/>
                <w:color w:val="auto"/>
              </w:rPr>
            </w:pPr>
          </w:p>
        </w:tc>
        <w:tc>
          <w:tcPr>
            <w:tcW w:w="920" w:type="dxa"/>
            <w:vAlign w:val="bottom"/>
          </w:tcPr>
          <w:p>
            <w:pPr>
              <w:spacing w:after="0"/>
              <w:rPr>
                <w:sz w:val="21"/>
                <w:szCs w:val="21"/>
                <w:color w:val="auto"/>
              </w:rPr>
            </w:pPr>
          </w:p>
        </w:tc>
        <w:tc>
          <w:tcPr>
            <w:tcW w:w="360" w:type="dxa"/>
            <w:vAlign w:val="bottom"/>
            <w:gridSpan w:val="2"/>
          </w:tcPr>
          <w:p>
            <w:pPr>
              <w:spacing w:after="0"/>
              <w:rPr>
                <w:sz w:val="21"/>
                <w:szCs w:val="21"/>
                <w:color w:val="auto"/>
              </w:rPr>
            </w:pPr>
          </w:p>
        </w:tc>
        <w:tc>
          <w:tcPr>
            <w:tcW w:w="920" w:type="dxa"/>
            <w:vAlign w:val="bottom"/>
          </w:tcPr>
          <w:p>
            <w:pPr>
              <w:spacing w:after="0"/>
              <w:rPr>
                <w:sz w:val="21"/>
                <w:szCs w:val="21"/>
                <w:color w:val="auto"/>
              </w:rPr>
            </w:pPr>
          </w:p>
        </w:tc>
      </w:tr>
      <w:tr>
        <w:trPr>
          <w:trHeight w:val="270"/>
        </w:trPr>
        <w:tc>
          <w:tcPr>
            <w:tcW w:w="5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tax expense (benefit)</w:t>
            </w:r>
          </w:p>
        </w:tc>
        <w:tc>
          <w:tcPr>
            <w:tcW w:w="12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4.7</w:t>
            </w:r>
          </w:p>
        </w:tc>
        <w:tc>
          <w:tcPr>
            <w:tcW w:w="14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(19.6 )</w:t>
            </w:r>
          </w:p>
        </w:tc>
      </w:tr>
      <w:tr>
        <w:trPr>
          <w:trHeight w:val="229"/>
        </w:trPr>
        <w:tc>
          <w:tcPr>
            <w:tcW w:w="5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43"/>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Based on the income (loss) before income taxes:</w:t>
            </w: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r>
      <w:tr>
        <w:trPr>
          <w:trHeight w:val="236"/>
        </w:trPr>
        <w:tc>
          <w:tcPr>
            <w:tcW w:w="5080" w:type="dxa"/>
            <w:vAlign w:val="bottom"/>
          </w:tcPr>
          <w:p>
            <w:pPr>
              <w:ind w:left="180"/>
              <w:spacing w:after="0"/>
              <w:rPr>
                <w:sz w:val="20"/>
                <w:szCs w:val="20"/>
                <w:color w:val="auto"/>
              </w:rPr>
            </w:pPr>
            <w:r>
              <w:rPr>
                <w:rFonts w:ascii="Arial" w:cs="Arial" w:eastAsia="Arial" w:hAnsi="Arial"/>
                <w:sz w:val="18"/>
                <w:szCs w:val="18"/>
                <w:color w:val="auto"/>
              </w:rPr>
              <w:t>Domestic</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19.0</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(111.3 )</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(77.4 )</w:t>
            </w:r>
          </w:p>
        </w:tc>
      </w:tr>
      <w:tr>
        <w:trPr>
          <w:trHeight w:val="243"/>
        </w:trPr>
        <w:tc>
          <w:tcPr>
            <w:tcW w:w="508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Foreign</w:t>
            </w:r>
          </w:p>
        </w:tc>
        <w:tc>
          <w:tcPr>
            <w:tcW w:w="1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7.5</w:t>
            </w:r>
          </w:p>
        </w:tc>
        <w:tc>
          <w:tcPr>
            <w:tcW w:w="1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4.3</w:t>
            </w:r>
          </w:p>
        </w:tc>
      </w:tr>
      <w:tr>
        <w:trPr>
          <w:trHeight w:val="236"/>
        </w:trPr>
        <w:tc>
          <w:tcPr>
            <w:tcW w:w="5080" w:type="dxa"/>
            <w:vAlign w:val="bottom"/>
          </w:tcPr>
          <w:p>
            <w:pPr>
              <w:ind w:left="180"/>
              <w:spacing w:after="0"/>
              <w:rPr>
                <w:sz w:val="20"/>
                <w:szCs w:val="20"/>
                <w:color w:val="auto"/>
              </w:rPr>
            </w:pPr>
            <w:r>
              <w:rPr>
                <w:rFonts w:ascii="Arial" w:cs="Arial" w:eastAsia="Arial" w:hAnsi="Arial"/>
                <w:sz w:val="18"/>
                <w:szCs w:val="18"/>
                <w:color w:val="auto"/>
              </w:rPr>
              <w:t>Income (Loss) before income taxes</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26.5</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(106.0 )</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(73.1 )</w:t>
            </w:r>
          </w:p>
        </w:tc>
      </w:tr>
      <w:tr>
        <w:trPr>
          <w:trHeight w:val="20"/>
        </w:trPr>
        <w:tc>
          <w:tcPr>
            <w:tcW w:w="5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4791075</wp:posOffset>
            </wp:positionH>
            <wp:positionV relativeFrom="paragraph">
              <wp:posOffset>-829945</wp:posOffset>
            </wp:positionV>
            <wp:extent cx="899160" cy="17970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99160" cy="179705"/>
                    </a:xfrm>
                    <a:prstGeom prst="rect">
                      <a:avLst/>
                    </a:prstGeom>
                    <a:noFill/>
                  </pic:spPr>
                </pic:pic>
              </a:graphicData>
            </a:graphic>
          </wp:anchor>
        </w:drawing>
        <w:drawing>
          <wp:anchor simplePos="0" relativeHeight="251657728" behindDoc="1" locked="0" layoutInCell="0" allowOverlap="1">
            <wp:simplePos x="0" y="0"/>
            <wp:positionH relativeFrom="column">
              <wp:posOffset>4791075</wp:posOffset>
            </wp:positionH>
            <wp:positionV relativeFrom="paragraph">
              <wp:posOffset>-187960</wp:posOffset>
            </wp:positionV>
            <wp:extent cx="85725" cy="18859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5613400</wp:posOffset>
            </wp:positionH>
            <wp:positionV relativeFrom="paragraph">
              <wp:posOffset>-187960</wp:posOffset>
            </wp:positionV>
            <wp:extent cx="76835" cy="18859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6835" cy="188595"/>
                    </a:xfrm>
                    <a:prstGeom prst="rect">
                      <a:avLst/>
                    </a:prstGeom>
                    <a:noFill/>
                  </pic:spPr>
                </pic:pic>
              </a:graphicData>
            </a:graphic>
          </wp:anchor>
        </w:drawing>
      </w:r>
    </w:p>
    <w:p>
      <w:pPr>
        <w:spacing w:after="0" w:line="18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applies the intraperiod tax allocation rules to allocate income taxes among continuing operations, other comprehensive income (loss), and additional paid-in capital when our situation meets the criteria as prescribed in the rule. Accounting Standards Update (ASU) 2019-12, Income Taxes (Topic 740) Simplifying the Accounting for Income Taxes became effective and was adopted prospectively by the Company on January 1, 2021. ASU 2019-12 removed the exception to the intraperiod tax allocation rules on a prospective basis; as such, there was no domestic deferred benefit recognized in periods subsequent to 2020. During 2020, the Company recognized $14.6 million of deferred benefit in the consolidated statement of operations and an equal and offsetting deferred tax expense in other comprehensive income (loss) included in the consolidated statement of comprehensive income (loss) due to the application of the exception within the intraperiod tax allocation rules. This allocation had no effect on total tax provision or total valuation allowance.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Uncertain Tax Positions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 rollforward of the total amount of unrecognized tax benefits for the years ended December 31 is as follows:</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5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r>
      <w:tr>
        <w:trPr>
          <w:trHeight w:val="236"/>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Unrecognized tax benefits at January 1</w:t>
            </w: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40.4</w:t>
            </w:r>
          </w:p>
        </w:tc>
        <w:tc>
          <w:tcPr>
            <w:tcW w:w="16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40.7</w:t>
            </w:r>
          </w:p>
        </w:tc>
      </w:tr>
      <w:tr>
        <w:trPr>
          <w:trHeight w:val="243"/>
        </w:trPr>
        <w:tc>
          <w:tcPr>
            <w:tcW w:w="5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43"/>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Increases related to:</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r>
      <w:tr>
        <w:trPr>
          <w:trHeight w:val="236"/>
        </w:trPr>
        <w:tc>
          <w:tcPr>
            <w:tcW w:w="5940" w:type="dxa"/>
            <w:vAlign w:val="bottom"/>
          </w:tcPr>
          <w:p>
            <w:pPr>
              <w:ind w:left="180"/>
              <w:spacing w:after="0"/>
              <w:rPr>
                <w:sz w:val="20"/>
                <w:szCs w:val="20"/>
                <w:color w:val="auto"/>
              </w:rPr>
            </w:pPr>
            <w:r>
              <w:rPr>
                <w:rFonts w:ascii="Arial" w:cs="Arial" w:eastAsia="Arial" w:hAnsi="Arial"/>
                <w:sz w:val="18"/>
                <w:szCs w:val="18"/>
                <w:color w:val="auto"/>
              </w:rPr>
              <w:t>Tax positions taken during a prior period</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49"/>
        </w:trPr>
        <w:tc>
          <w:tcPr>
            <w:tcW w:w="59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Tax positions taken during the current period</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0.3</w:t>
            </w:r>
          </w:p>
        </w:tc>
      </w:tr>
      <w:tr>
        <w:trPr>
          <w:trHeight w:val="243"/>
        </w:trPr>
        <w:tc>
          <w:tcPr>
            <w:tcW w:w="5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43"/>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Decreases related to:</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r>
      <w:tr>
        <w:trPr>
          <w:trHeight w:val="236"/>
        </w:trPr>
        <w:tc>
          <w:tcPr>
            <w:tcW w:w="5940" w:type="dxa"/>
            <w:vAlign w:val="bottom"/>
          </w:tcPr>
          <w:p>
            <w:pPr>
              <w:ind w:left="180"/>
              <w:spacing w:after="0"/>
              <w:rPr>
                <w:sz w:val="20"/>
                <w:szCs w:val="20"/>
                <w:color w:val="auto"/>
              </w:rPr>
            </w:pPr>
            <w:r>
              <w:rPr>
                <w:rFonts w:ascii="Arial" w:cs="Arial" w:eastAsia="Arial" w:hAnsi="Arial"/>
                <w:sz w:val="18"/>
                <w:szCs w:val="18"/>
                <w:color w:val="auto"/>
              </w:rPr>
              <w:t>Tax positions taken during a prior period</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49"/>
        </w:trPr>
        <w:tc>
          <w:tcPr>
            <w:tcW w:w="59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Lapse of applicable statute of limitations</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(7.3 )</w:t>
            </w: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(0.6 )</w:t>
            </w:r>
          </w:p>
        </w:tc>
      </w:tr>
      <w:tr>
        <w:trPr>
          <w:trHeight w:val="243"/>
        </w:trPr>
        <w:tc>
          <w:tcPr>
            <w:tcW w:w="5940" w:type="dxa"/>
            <w:vAlign w:val="bottom"/>
          </w:tcPr>
          <w:p>
            <w:pPr>
              <w:spacing w:after="0"/>
              <w:rPr>
                <w:sz w:val="21"/>
                <w:szCs w:val="21"/>
                <w:color w:val="auto"/>
              </w:rPr>
            </w:pPr>
          </w:p>
        </w:tc>
        <w:tc>
          <w:tcPr>
            <w:tcW w:w="460" w:type="dxa"/>
            <w:vAlign w:val="bottom"/>
            <w:gridSpan w:val="2"/>
          </w:tcPr>
          <w:p>
            <w:pPr>
              <w:spacing w:after="0"/>
              <w:rPr>
                <w:sz w:val="21"/>
                <w:szCs w:val="21"/>
                <w:color w:val="auto"/>
              </w:rPr>
            </w:pPr>
          </w:p>
        </w:tc>
        <w:tc>
          <w:tcPr>
            <w:tcW w:w="1080" w:type="dxa"/>
            <w:vAlign w:val="bottom"/>
          </w:tcPr>
          <w:p>
            <w:pPr>
              <w:spacing w:after="0"/>
              <w:rPr>
                <w:sz w:val="21"/>
                <w:szCs w:val="21"/>
                <w:color w:val="auto"/>
              </w:rPr>
            </w:pPr>
          </w:p>
        </w:tc>
        <w:tc>
          <w:tcPr>
            <w:tcW w:w="440" w:type="dxa"/>
            <w:vAlign w:val="bottom"/>
            <w:gridSpan w:val="2"/>
          </w:tcPr>
          <w:p>
            <w:pPr>
              <w:spacing w:after="0"/>
              <w:rPr>
                <w:sz w:val="21"/>
                <w:szCs w:val="21"/>
                <w:color w:val="auto"/>
              </w:rPr>
            </w:pPr>
          </w:p>
        </w:tc>
        <w:tc>
          <w:tcPr>
            <w:tcW w:w="1060" w:type="dxa"/>
            <w:vAlign w:val="bottom"/>
          </w:tcPr>
          <w:p>
            <w:pPr>
              <w:spacing w:after="0"/>
              <w:rPr>
                <w:sz w:val="21"/>
                <w:szCs w:val="21"/>
                <w:color w:val="auto"/>
              </w:rPr>
            </w:pPr>
          </w:p>
        </w:tc>
      </w:tr>
      <w:tr>
        <w:trPr>
          <w:trHeight w:val="276"/>
        </w:trPr>
        <w:tc>
          <w:tcPr>
            <w:tcW w:w="5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Unrecognized tax benefits at December 31</w:t>
            </w:r>
          </w:p>
        </w:tc>
        <w:tc>
          <w:tcPr>
            <w:tcW w:w="1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33.5</w:t>
            </w:r>
          </w:p>
        </w:tc>
        <w:tc>
          <w:tcPr>
            <w:tcW w:w="1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color w:val="auto"/>
              </w:rPr>
              <w:t>40.4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5476240</wp:posOffset>
            </wp:positionH>
            <wp:positionV relativeFrom="paragraph">
              <wp:posOffset>-24765</wp:posOffset>
            </wp:positionV>
            <wp:extent cx="939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-7620</wp:posOffset>
            </wp:positionV>
            <wp:extent cx="939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3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December 31, 2022 and 2021, there are $3.0 million and $3.0 million, respectively, of benefits that, if recognized, would affect the effective tax rate. The differences between these amounts and the amounts appearing in the table above represent unrecognized tax benefits which have been netted against deferred tax assets for net operating loss carryforwards and not recorded to the liability for unrecognized tax benefits. During the years ended December 31, 2022 and December 31, 2021 we paid no amounts to settle audits.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5" w:right="339" w:bottom="1440" w:gutter="0" w:footer="0" w:header="0"/>
        </w:sectPr>
      </w:pPr>
    </w:p>
    <w:bookmarkStart w:id="60" w:name="page61"/>
    <w:bookmarkEnd w:id="60"/>
    <w:p>
      <w:pPr>
        <w:jc w:val="both"/>
        <w:spacing w:after="0" w:line="263" w:lineRule="auto"/>
        <w:rPr>
          <w:sz w:val="20"/>
          <w:szCs w:val="20"/>
          <w:color w:val="auto"/>
        </w:rPr>
      </w:pPr>
      <w:r>
        <w:rPr>
          <w:rFonts w:ascii="Arial" w:cs="Arial" w:eastAsia="Arial" w:hAnsi="Arial"/>
          <w:sz w:val="18"/>
          <w:szCs w:val="18"/>
          <w:color w:val="auto"/>
        </w:rPr>
        <w:t>The Company experienced only nominal activity with regard to interest on uncertain tax positions for both 2022 and 2021. The Company accrued no penalties relative to uncertain tax positions in either 2022 or 2021. The Company has elected to treat interest and penalties on uncertain tax positions as “Interest expense” and “Other operating expenses”, respectively.</w:t>
      </w:r>
    </w:p>
    <w:p>
      <w:pPr>
        <w:spacing w:after="0" w:line="1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It is reasonably possible that the existing unrecognized tax benefits may decrease over the next twelve months by as much as $0.5 million because of developments in examinations, or from the expiration of statutes of limitation.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Tax years that remain subject to examination for our major tax jurisdictions as of December 31, 2022:</w:t>
      </w:r>
    </w:p>
    <w:p>
      <w:pPr>
        <w:spacing w:after="0" w:line="239" w:lineRule="exact"/>
        <w:rPr>
          <w:sz w:val="20"/>
          <w:szCs w:val="20"/>
          <w:color w:val="auto"/>
        </w:rPr>
      </w:pPr>
    </w:p>
    <w:tbl>
      <w:tblPr>
        <w:tblLayout w:type="fixed"/>
        <w:tblInd w:w="1140" w:type="dxa"/>
        <w:tblCellMar>
          <w:top w:w="0" w:type="dxa"/>
          <w:left w:w="0" w:type="dxa"/>
          <w:bottom w:w="0" w:type="dxa"/>
          <w:right w:w="0" w:type="dxa"/>
        </w:tblCellMar>
      </w:tblPr>
      <w:tr>
        <w:trPr>
          <w:trHeight w:val="243"/>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Statute remains open</w:t>
            </w:r>
          </w:p>
        </w:tc>
        <w:tc>
          <w:tcPr>
            <w:tcW w:w="4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2014-2021</w:t>
            </w: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Tax years not examined</w:t>
            </w:r>
          </w:p>
        </w:tc>
        <w:tc>
          <w:tcPr>
            <w:tcW w:w="4040" w:type="dxa"/>
            <w:vAlign w:val="bottom"/>
          </w:tcPr>
          <w:p>
            <w:pPr>
              <w:jc w:val="right"/>
              <w:spacing w:after="0"/>
              <w:rPr>
                <w:sz w:val="20"/>
                <w:szCs w:val="20"/>
                <w:color w:val="auto"/>
              </w:rPr>
            </w:pPr>
            <w:r>
              <w:rPr>
                <w:rFonts w:ascii="Arial" w:cs="Arial" w:eastAsia="Arial" w:hAnsi="Arial"/>
                <w:sz w:val="18"/>
                <w:szCs w:val="18"/>
                <w:color w:val="auto"/>
              </w:rPr>
              <w:t>2014-2022</w:t>
            </w:r>
          </w:p>
        </w:tc>
      </w:tr>
    </w:tbl>
    <w:p>
      <w:pPr>
        <w:spacing w:after="0" w:line="21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2020, the CARES Act was enacted in response to the COVID-19 pandemic. The CARES Act contained numerous income tax provisions, such as relaxing the limitations on the deductibility of interest and the carryback of net operating losses for specific periods. The Company performed an analysis of these provisions and due to the unavailability of excess taxable income in the current or carry back periods, and the application of a valuation allowance to deferred tax assets, the Company's effective income tax rate and its tax provision are unaffected by the income tax provisions of the CARES Act.</w:t>
      </w:r>
    </w:p>
    <w:p>
      <w:pPr>
        <w:spacing w:after="0" w:line="1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August 16, 2022, the United States enacted the Inflation Reduction Act (the “IRA”). The IRA included provisions related to aspects of corporate income taxes. We do not currently expect the IRA to have a significant impact on the Company’s effective income tax rate nor its provision for income taxes.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Shareholders’ Deficit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reflects the activity in the shares of our common stock for the years ended December 31: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Common Shares (in thousands)</w:t>
            </w:r>
          </w:p>
        </w:tc>
        <w:tc>
          <w:tcPr>
            <w:tcW w:w="170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2022</w:t>
            </w:r>
          </w:p>
        </w:tc>
        <w:tc>
          <w:tcPr>
            <w:tcW w:w="1780" w:type="dxa"/>
            <w:vAlign w:val="bottom"/>
            <w:tcBorders>
              <w:bottom w:val="single" w:sz="8" w:color="auto"/>
            </w:tcBorders>
            <w:gridSpan w:val="2"/>
          </w:tcPr>
          <w:p>
            <w:pPr>
              <w:jc w:val="right"/>
              <w:ind w:right="650"/>
              <w:spacing w:after="0"/>
              <w:rPr>
                <w:sz w:val="20"/>
                <w:szCs w:val="20"/>
                <w:color w:val="auto"/>
              </w:rPr>
            </w:pPr>
            <w:r>
              <w:rPr>
                <w:rFonts w:ascii="Arial" w:cs="Arial" w:eastAsia="Arial" w:hAnsi="Arial"/>
                <w:sz w:val="14"/>
                <w:szCs w:val="14"/>
                <w:b w:val="1"/>
                <w:bCs w:val="1"/>
                <w:color w:val="auto"/>
              </w:rPr>
              <w:t>2021</w:t>
            </w:r>
          </w:p>
        </w:tc>
        <w:tc>
          <w:tcPr>
            <w:tcW w:w="1780" w:type="dxa"/>
            <w:vAlign w:val="bottom"/>
            <w:tcBorders>
              <w:bottom w:val="single" w:sz="8" w:color="auto"/>
            </w:tcBorders>
            <w:gridSpan w:val="2"/>
          </w:tcPr>
          <w:p>
            <w:pPr>
              <w:jc w:val="right"/>
              <w:ind w:right="650"/>
              <w:spacing w:after="0"/>
              <w:rPr>
                <w:sz w:val="20"/>
                <w:szCs w:val="20"/>
                <w:color w:val="auto"/>
              </w:rPr>
            </w:pPr>
            <w:r>
              <w:rPr>
                <w:rFonts w:ascii="Arial" w:cs="Arial" w:eastAsia="Arial" w:hAnsi="Arial"/>
                <w:sz w:val="14"/>
                <w:szCs w:val="14"/>
                <w:b w:val="1"/>
                <w:bCs w:val="1"/>
                <w:color w:val="auto"/>
              </w:rPr>
              <w:t>2020</w:t>
            </w:r>
          </w:p>
        </w:tc>
      </w:tr>
      <w:tr>
        <w:trPr>
          <w:trHeight w:val="236"/>
        </w:trPr>
        <w:tc>
          <w:tcPr>
            <w:tcW w:w="5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Beginning balance</w:t>
            </w:r>
          </w:p>
        </w:tc>
        <w:tc>
          <w:tcPr>
            <w:tcW w:w="170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50,955</w:t>
            </w:r>
          </w:p>
        </w:tc>
        <w:tc>
          <w:tcPr>
            <w:tcW w:w="17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50,192</w:t>
            </w:r>
          </w:p>
        </w:tc>
        <w:tc>
          <w:tcPr>
            <w:tcW w:w="17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33,715</w:t>
            </w:r>
          </w:p>
        </w:tc>
      </w:tr>
      <w:tr>
        <w:trPr>
          <w:trHeight w:val="236"/>
        </w:trPr>
        <w:tc>
          <w:tcPr>
            <w:tcW w:w="5980" w:type="dxa"/>
            <w:vAlign w:val="bottom"/>
          </w:tcPr>
          <w:p>
            <w:pPr>
              <w:ind w:left="20"/>
              <w:spacing w:after="0"/>
              <w:rPr>
                <w:sz w:val="20"/>
                <w:szCs w:val="20"/>
                <w:color w:val="auto"/>
              </w:rPr>
            </w:pPr>
            <w:r>
              <w:rPr>
                <w:rFonts w:ascii="Arial" w:cs="Arial" w:eastAsia="Arial" w:hAnsi="Arial"/>
                <w:sz w:val="18"/>
                <w:szCs w:val="18"/>
                <w:color w:val="auto"/>
              </w:rPr>
              <w:t>Equity issuance - UST commitment fee</w:t>
            </w:r>
          </w:p>
        </w:tc>
        <w:tc>
          <w:tcPr>
            <w:tcW w:w="170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30"/>
              <w:spacing w:after="0"/>
              <w:rPr>
                <w:sz w:val="20"/>
                <w:szCs w:val="20"/>
                <w:color w:val="auto"/>
              </w:rPr>
            </w:pPr>
            <w:r>
              <w:rPr>
                <w:rFonts w:ascii="Arial" w:cs="Arial" w:eastAsia="Arial" w:hAnsi="Arial"/>
                <w:sz w:val="18"/>
                <w:szCs w:val="18"/>
                <w:color w:val="auto"/>
              </w:rPr>
              <w:t>15,944</w:t>
            </w:r>
          </w:p>
        </w:tc>
      </w:tr>
      <w:tr>
        <w:trPr>
          <w:trHeight w:val="243"/>
        </w:trPr>
        <w:tc>
          <w:tcPr>
            <w:tcW w:w="59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Issuance of equity awards, net</w:t>
            </w:r>
          </w:p>
        </w:tc>
        <w:tc>
          <w:tcPr>
            <w:tcW w:w="170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646</w:t>
            </w:r>
          </w:p>
        </w:tc>
        <w:tc>
          <w:tcPr>
            <w:tcW w:w="120" w:type="dxa"/>
            <w:vAlign w:val="bottom"/>
            <w:tcBorders>
              <w:bottom w:val="single" w:sz="8" w:color="CFF0FC"/>
            </w:tcBorders>
            <w:shd w:val="clear" w:color="auto" w:fill="CFF0FC"/>
          </w:tcPr>
          <w:p>
            <w:pPr>
              <w:spacing w:after="0"/>
              <w:rPr>
                <w:sz w:val="21"/>
                <w:szCs w:val="21"/>
                <w:color w:val="auto"/>
              </w:rPr>
            </w:pPr>
          </w:p>
        </w:tc>
        <w:tc>
          <w:tcPr>
            <w:tcW w:w="16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763</w:t>
            </w:r>
          </w:p>
        </w:tc>
        <w:tc>
          <w:tcPr>
            <w:tcW w:w="120" w:type="dxa"/>
            <w:vAlign w:val="bottom"/>
            <w:tcBorders>
              <w:bottom w:val="single" w:sz="8" w:color="CFF0FC"/>
            </w:tcBorders>
            <w:shd w:val="clear" w:color="auto" w:fill="CFF0FC"/>
          </w:tcPr>
          <w:p>
            <w:pPr>
              <w:spacing w:after="0"/>
              <w:rPr>
                <w:sz w:val="21"/>
                <w:szCs w:val="21"/>
                <w:color w:val="auto"/>
              </w:rPr>
            </w:pPr>
          </w:p>
        </w:tc>
        <w:tc>
          <w:tcPr>
            <w:tcW w:w="16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533</w:t>
            </w:r>
          </w:p>
        </w:tc>
      </w:tr>
      <w:tr>
        <w:trPr>
          <w:trHeight w:val="236"/>
        </w:trPr>
        <w:tc>
          <w:tcPr>
            <w:tcW w:w="598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1700" w:type="dxa"/>
            <w:vAlign w:val="bottom"/>
          </w:tcPr>
          <w:p>
            <w:pPr>
              <w:jc w:val="right"/>
              <w:ind w:right="54"/>
              <w:spacing w:after="0"/>
              <w:rPr>
                <w:sz w:val="20"/>
                <w:szCs w:val="20"/>
                <w:color w:val="auto"/>
              </w:rPr>
            </w:pPr>
            <w:r>
              <w:rPr>
                <w:rFonts w:ascii="Arial" w:cs="Arial" w:eastAsia="Arial" w:hAnsi="Arial"/>
                <w:sz w:val="18"/>
                <w:szCs w:val="18"/>
                <w:color w:val="auto"/>
              </w:rPr>
              <w:t>51,601</w:t>
            </w:r>
          </w:p>
        </w:tc>
        <w:tc>
          <w:tcPr>
            <w:tcW w:w="1780" w:type="dxa"/>
            <w:vAlign w:val="bottom"/>
            <w:gridSpan w:val="2"/>
          </w:tcPr>
          <w:p>
            <w:pPr>
              <w:jc w:val="right"/>
              <w:ind w:right="30"/>
              <w:spacing w:after="0"/>
              <w:rPr>
                <w:sz w:val="20"/>
                <w:szCs w:val="20"/>
                <w:color w:val="auto"/>
              </w:rPr>
            </w:pPr>
            <w:r>
              <w:rPr>
                <w:rFonts w:ascii="Arial" w:cs="Arial" w:eastAsia="Arial" w:hAnsi="Arial"/>
                <w:sz w:val="18"/>
                <w:szCs w:val="18"/>
                <w:color w:val="auto"/>
              </w:rPr>
              <w:t>50,955</w:t>
            </w:r>
          </w:p>
        </w:tc>
        <w:tc>
          <w:tcPr>
            <w:tcW w:w="1780" w:type="dxa"/>
            <w:vAlign w:val="bottom"/>
            <w:gridSpan w:val="2"/>
          </w:tcPr>
          <w:p>
            <w:pPr>
              <w:jc w:val="right"/>
              <w:ind w:right="30"/>
              <w:spacing w:after="0"/>
              <w:rPr>
                <w:sz w:val="20"/>
                <w:szCs w:val="20"/>
                <w:color w:val="auto"/>
              </w:rPr>
            </w:pPr>
            <w:r>
              <w:rPr>
                <w:rFonts w:ascii="Arial" w:cs="Arial" w:eastAsia="Arial" w:hAnsi="Arial"/>
                <w:sz w:val="18"/>
                <w:szCs w:val="18"/>
                <w:color w:val="auto"/>
              </w:rPr>
              <w:t>50,192</w:t>
            </w:r>
          </w:p>
        </w:tc>
      </w:tr>
      <w:tr>
        <w:trPr>
          <w:trHeight w:val="20"/>
        </w:trPr>
        <w:tc>
          <w:tcPr>
            <w:tcW w:w="598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4876800</wp:posOffset>
            </wp:positionH>
            <wp:positionV relativeFrom="paragraph">
              <wp:posOffset>-187960</wp:posOffset>
            </wp:positionV>
            <wp:extent cx="76835" cy="18859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6007100</wp:posOffset>
            </wp:positionH>
            <wp:positionV relativeFrom="paragraph">
              <wp:posOffset>-187960</wp:posOffset>
            </wp:positionV>
            <wp:extent cx="76835" cy="18859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6835" cy="188595"/>
                    </a:xfrm>
                    <a:prstGeom prst="rect">
                      <a:avLst/>
                    </a:prstGeom>
                    <a:noFill/>
                  </pic:spPr>
                </pic:pic>
              </a:graphicData>
            </a:graphic>
          </wp:anchor>
        </w:drawing>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shares issued to the UST are subject to a voting trust agreement entered on July 9, 2020 which provides that all shares of the Company’s common stock owned by the UST shall be delivered to a voting trust and voted in proportion as all other common stock are voted, subject to certain exceptions defined therein.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(Loss) Per Share</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calculate basic earnings (loss) per share by dividing our net income (loss) available to common shareholders by our weighted-average shares outstanding at the end of the period. When appropriate, the calculation for diluted earnings (loss) per share adjusts the weighted average shares outstanding for our dilutive unvested shares and stock units using the treasury stock method. Our calculations for basic and dilutive earnings (loss) per share for the years ended December 31 are as follows:</w:t>
      </w:r>
    </w:p>
    <w:p>
      <w:pPr>
        <w:spacing w:after="0" w:line="190"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5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(dollars in millions, except per share data, shares and stock units in thousands)</w:t>
            </w: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r>
      <w:tr>
        <w:trPr>
          <w:trHeight w:val="236"/>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Basic and dilutive net income (loss)</w:t>
            </w: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21.8</w:t>
            </w: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(109.1 )</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(53.5 )</w:t>
            </w:r>
          </w:p>
        </w:tc>
      </w:tr>
      <w:tr>
        <w:trPr>
          <w:trHeight w:val="243"/>
        </w:trPr>
        <w:tc>
          <w:tcPr>
            <w:tcW w:w="5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43"/>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Basic weighted average shares outstanding</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51,346</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50,720</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41,694</w:t>
            </w:r>
          </w:p>
        </w:tc>
      </w:tr>
      <w:tr>
        <w:trPr>
          <w:trHeight w:val="236"/>
        </w:trPr>
        <w:tc>
          <w:tcPr>
            <w:tcW w:w="508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49"/>
        </w:trPr>
        <w:tc>
          <w:tcPr>
            <w:tcW w:w="5080" w:type="dxa"/>
            <w:vAlign w:val="bottom"/>
            <w:tcBorders>
              <w:bottom w:val="single" w:sz="8" w:color="CFF0FC"/>
            </w:tcBorders>
            <w:shd w:val="clear" w:color="auto" w:fill="CFF0FC"/>
          </w:tcPr>
          <w:p>
            <w:pPr>
              <w:ind w:left="180"/>
              <w:spacing w:after="0" w:line="249" w:lineRule="exact"/>
              <w:rPr>
                <w:sz w:val="20"/>
                <w:szCs w:val="20"/>
                <w:color w:val="auto"/>
              </w:rPr>
            </w:pPr>
            <w:r>
              <w:rPr>
                <w:rFonts w:ascii="Arial" w:cs="Arial" w:eastAsia="Arial" w:hAnsi="Arial"/>
                <w:sz w:val="18"/>
                <w:szCs w:val="18"/>
                <w:color w:val="auto"/>
              </w:rPr>
              <w:t>Unvested shares and stocks units</w:t>
            </w:r>
            <w:r>
              <w:rPr>
                <w:rFonts w:ascii="Arial" w:cs="Arial" w:eastAsia="Arial" w:hAnsi="Arial"/>
                <w:sz w:val="24"/>
                <w:szCs w:val="24"/>
                <w:color w:val="auto"/>
                <w:vertAlign w:val="superscript"/>
              </w:rPr>
              <w:t>(a)</w:t>
            </w:r>
          </w:p>
        </w:tc>
        <w:tc>
          <w:tcPr>
            <w:tcW w:w="1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color w:val="auto"/>
              </w:rPr>
              <w:t>887</w:t>
            </w:r>
          </w:p>
        </w:tc>
        <w:tc>
          <w:tcPr>
            <w:tcW w:w="1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color w:val="auto"/>
              </w:rPr>
              <w:t>—</w:t>
            </w:r>
          </w:p>
        </w:tc>
      </w:tr>
      <w:tr>
        <w:trPr>
          <w:trHeight w:val="236"/>
        </w:trPr>
        <w:tc>
          <w:tcPr>
            <w:tcW w:w="5080" w:type="dxa"/>
            <w:vAlign w:val="bottom"/>
          </w:tcPr>
          <w:p>
            <w:pPr>
              <w:spacing w:after="0"/>
              <w:rPr>
                <w:sz w:val="20"/>
                <w:szCs w:val="20"/>
                <w:color w:val="auto"/>
              </w:rPr>
            </w:pPr>
            <w:r>
              <w:rPr>
                <w:rFonts w:ascii="Arial" w:cs="Arial" w:eastAsia="Arial" w:hAnsi="Arial"/>
                <w:sz w:val="18"/>
                <w:szCs w:val="18"/>
                <w:color w:val="auto"/>
              </w:rPr>
              <w:t>Dilutive weighted average shares outstanding</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52,233</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50,720</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41,694</w:t>
            </w:r>
          </w:p>
        </w:tc>
      </w:tr>
      <w:tr>
        <w:trPr>
          <w:trHeight w:val="20"/>
        </w:trPr>
        <w:tc>
          <w:tcPr>
            <w:tcW w:w="5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23"/>
        </w:trPr>
        <w:tc>
          <w:tcPr>
            <w:tcW w:w="5080" w:type="dxa"/>
            <w:vAlign w:val="bottom"/>
            <w:shd w:val="clear" w:color="auto" w:fill="CFF0FC"/>
          </w:tcPr>
          <w:p>
            <w:pPr>
              <w:spacing w:after="0"/>
              <w:rPr>
                <w:sz w:val="19"/>
                <w:szCs w:val="19"/>
                <w:color w:val="auto"/>
              </w:rPr>
            </w:pPr>
          </w:p>
        </w:tc>
        <w:tc>
          <w:tcPr>
            <w:tcW w:w="380" w:type="dxa"/>
            <w:vAlign w:val="bottom"/>
            <w:gridSpan w:val="2"/>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80" w:type="dxa"/>
            <w:vAlign w:val="bottom"/>
            <w:gridSpan w:val="2"/>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60" w:type="dxa"/>
            <w:vAlign w:val="bottom"/>
            <w:gridSpan w:val="2"/>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r>
      <w:tr>
        <w:trPr>
          <w:trHeight w:val="243"/>
        </w:trPr>
        <w:tc>
          <w:tcPr>
            <w:tcW w:w="5080" w:type="dxa"/>
            <w:vAlign w:val="bottom"/>
          </w:tcPr>
          <w:p>
            <w:pPr>
              <w:spacing w:after="0" w:line="243" w:lineRule="exact"/>
              <w:rPr>
                <w:sz w:val="20"/>
                <w:szCs w:val="20"/>
                <w:color w:val="auto"/>
              </w:rPr>
            </w:pPr>
            <w:r>
              <w:rPr>
                <w:rFonts w:ascii="Arial" w:cs="Arial" w:eastAsia="Arial" w:hAnsi="Arial"/>
                <w:sz w:val="18"/>
                <w:szCs w:val="18"/>
                <w:color w:val="auto"/>
              </w:rPr>
              <w:t>Basic earnings (loss) per share</w:t>
            </w:r>
            <w:r>
              <w:rPr>
                <w:rFonts w:ascii="Arial" w:cs="Arial" w:eastAsia="Arial" w:hAnsi="Arial"/>
                <w:sz w:val="24"/>
                <w:szCs w:val="24"/>
                <w:color w:val="auto"/>
                <w:vertAlign w:val="superscript"/>
              </w:rPr>
              <w:t>(b)</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0.42</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(2.15 )</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(1.28 )</w:t>
            </w:r>
          </w:p>
        </w:tc>
      </w:tr>
      <w:tr>
        <w:trPr>
          <w:trHeight w:val="243"/>
        </w:trPr>
        <w:tc>
          <w:tcPr>
            <w:tcW w:w="5080" w:type="dxa"/>
            <w:vAlign w:val="bottom"/>
            <w:shd w:val="clear" w:color="auto" w:fill="CFF0FC"/>
          </w:tcPr>
          <w:p>
            <w:pPr>
              <w:spacing w:after="0" w:line="243" w:lineRule="exact"/>
              <w:rPr>
                <w:sz w:val="20"/>
                <w:szCs w:val="20"/>
                <w:color w:val="auto"/>
              </w:rPr>
            </w:pPr>
            <w:r>
              <w:rPr>
                <w:rFonts w:ascii="Arial" w:cs="Arial" w:eastAsia="Arial" w:hAnsi="Arial"/>
                <w:sz w:val="18"/>
                <w:szCs w:val="18"/>
                <w:color w:val="auto"/>
              </w:rPr>
              <w:t>Diluted earnings (loss) per share</w:t>
            </w:r>
            <w:r>
              <w:rPr>
                <w:rFonts w:ascii="Arial" w:cs="Arial" w:eastAsia="Arial" w:hAnsi="Arial"/>
                <w:sz w:val="24"/>
                <w:szCs w:val="24"/>
                <w:color w:val="auto"/>
                <w:vertAlign w:val="superscript"/>
              </w:rPr>
              <w:t>(b)</w:t>
            </w:r>
          </w:p>
        </w:tc>
        <w:tc>
          <w:tcPr>
            <w:tcW w:w="3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0.42</w:t>
            </w:r>
          </w:p>
        </w:tc>
        <w:tc>
          <w:tcPr>
            <w:tcW w:w="3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(2.15 )</w:t>
            </w:r>
          </w:p>
        </w:tc>
        <w:tc>
          <w:tcPr>
            <w:tcW w:w="3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4791075</wp:posOffset>
            </wp:positionH>
            <wp:positionV relativeFrom="paragraph">
              <wp:posOffset>-650240</wp:posOffset>
            </wp:positionV>
            <wp:extent cx="85725" cy="18859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5613400</wp:posOffset>
            </wp:positionH>
            <wp:positionV relativeFrom="paragraph">
              <wp:posOffset>-650240</wp:posOffset>
            </wp:positionV>
            <wp:extent cx="76835" cy="18859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6835" cy="188595"/>
                    </a:xfrm>
                    <a:prstGeom prst="rect">
                      <a:avLst/>
                    </a:prstGeom>
                    <a:noFill/>
                  </pic:spPr>
                </pic:pic>
              </a:graphicData>
            </a:graphic>
          </wp:anchor>
        </w:drawing>
      </w:r>
    </w:p>
    <w:p>
      <w:pPr>
        <w:spacing w:after="0" w:line="176" w:lineRule="exact"/>
        <w:rPr>
          <w:sz w:val="20"/>
          <w:szCs w:val="20"/>
          <w:color w:val="auto"/>
        </w:rPr>
      </w:pPr>
    </w:p>
    <w:p>
      <w:pPr>
        <w:ind w:left="380" w:hanging="372"/>
        <w:spacing w:after="0"/>
        <w:tabs>
          <w:tab w:leader="none" w:pos="3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Includes unvested shares of Common Stock, unvested stock units, and vested stock units for which the underlying Common Stock has not been distributed.</w:t>
      </w:r>
    </w:p>
    <w:p>
      <w:pPr>
        <w:ind w:left="380" w:hanging="372"/>
        <w:spacing w:after="0"/>
        <w:tabs>
          <w:tab w:leader="none" w:pos="3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Earnings (loss) per share is based on unrounded figures and not the rounded figures presented.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Given our net loss position for the years ended December 31, 2021 and 2020, there are no dilutive securities for these periods.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Our anti-dilutive securities for the years ended December 31 are as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61" w:name="page62"/>
    <w:bookmarkEnd w:id="61"/>
    <w:tbl>
      <w:tblPr>
        <w:tblLayout w:type="fixed"/>
        <w:tblInd w:w="1140" w:type="dxa"/>
        <w:tblCellMar>
          <w:top w:w="0" w:type="dxa"/>
          <w:left w:w="0" w:type="dxa"/>
          <w:bottom w:w="0" w:type="dxa"/>
          <w:right w:w="0" w:type="dxa"/>
        </w:tblCellMar>
      </w:tblPr>
      <w:tr>
        <w:trPr>
          <w:trHeight w:val="185"/>
        </w:trPr>
        <w:tc>
          <w:tcPr>
            <w:tcW w:w="5200" w:type="dxa"/>
            <w:vAlign w:val="bottom"/>
          </w:tcPr>
          <w:p>
            <w:pPr>
              <w:spacing w:after="0"/>
              <w:rPr>
                <w:sz w:val="20"/>
                <w:szCs w:val="20"/>
                <w:color w:val="auto"/>
              </w:rPr>
            </w:pPr>
            <w:r>
              <w:rPr>
                <w:rFonts w:ascii="Arial" w:cs="Arial" w:eastAsia="Arial" w:hAnsi="Arial"/>
                <w:sz w:val="14"/>
                <w:szCs w:val="14"/>
                <w:b w:val="1"/>
                <w:bCs w:val="1"/>
                <w:color w:val="auto"/>
              </w:rPr>
              <w:t>(shares in thousands)</w:t>
            </w:r>
          </w:p>
        </w:tc>
        <w:tc>
          <w:tcPr>
            <w:tcW w:w="1280" w:type="dxa"/>
            <w:vAlign w:val="bottom"/>
            <w:gridSpan w:val="2"/>
          </w:tcPr>
          <w:p>
            <w:pPr>
              <w:jc w:val="right"/>
              <w:ind w:right="430"/>
              <w:spacing w:after="0"/>
              <w:rPr>
                <w:sz w:val="20"/>
                <w:szCs w:val="20"/>
                <w:color w:val="auto"/>
              </w:rPr>
            </w:pPr>
            <w:r>
              <w:rPr>
                <w:rFonts w:ascii="Arial" w:cs="Arial" w:eastAsia="Arial" w:hAnsi="Arial"/>
                <w:sz w:val="14"/>
                <w:szCs w:val="14"/>
                <w:b w:val="1"/>
                <w:bCs w:val="1"/>
                <w:color w:val="auto"/>
              </w:rPr>
              <w:t>2022</w:t>
            </w:r>
          </w:p>
        </w:tc>
        <w:tc>
          <w:tcPr>
            <w:tcW w:w="1260" w:type="dxa"/>
            <w:vAlign w:val="bottom"/>
            <w:gridSpan w:val="2"/>
          </w:tcPr>
          <w:p>
            <w:pPr>
              <w:jc w:val="right"/>
              <w:ind w:right="390"/>
              <w:spacing w:after="0"/>
              <w:rPr>
                <w:sz w:val="20"/>
                <w:szCs w:val="20"/>
                <w:color w:val="auto"/>
              </w:rPr>
            </w:pPr>
            <w:r>
              <w:rPr>
                <w:rFonts w:ascii="Arial" w:cs="Arial" w:eastAsia="Arial" w:hAnsi="Arial"/>
                <w:sz w:val="14"/>
                <w:szCs w:val="14"/>
                <w:b w:val="1"/>
                <w:bCs w:val="1"/>
                <w:color w:val="auto"/>
              </w:rPr>
              <w:t>2021</w:t>
            </w:r>
          </w:p>
        </w:tc>
        <w:tc>
          <w:tcPr>
            <w:tcW w:w="1240" w:type="dxa"/>
            <w:vAlign w:val="bottom"/>
            <w:gridSpan w:val="2"/>
          </w:tcPr>
          <w:p>
            <w:pPr>
              <w:jc w:val="right"/>
              <w:ind w:right="390"/>
              <w:spacing w:after="0"/>
              <w:rPr>
                <w:sz w:val="20"/>
                <w:szCs w:val="20"/>
                <w:color w:val="auto"/>
              </w:rPr>
            </w:pPr>
            <w:r>
              <w:rPr>
                <w:rFonts w:ascii="Arial" w:cs="Arial" w:eastAsia="Arial" w:hAnsi="Arial"/>
                <w:sz w:val="14"/>
                <w:szCs w:val="14"/>
                <w:b w:val="1"/>
                <w:bCs w:val="1"/>
                <w:color w:val="auto"/>
              </w:rPr>
              <w:t>2020</w:t>
            </w:r>
          </w:p>
        </w:tc>
      </w:tr>
      <w:tr>
        <w:trPr>
          <w:trHeight w:val="236"/>
        </w:trPr>
        <w:tc>
          <w:tcPr>
            <w:tcW w:w="5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Anti-dilutive unvested shares and options</w:t>
            </w:r>
          </w:p>
        </w:tc>
        <w:tc>
          <w:tcPr>
            <w:tcW w:w="80" w:type="dxa"/>
            <w:vAlign w:val="bottom"/>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552</w:t>
            </w:r>
          </w:p>
        </w:tc>
        <w:tc>
          <w:tcPr>
            <w:tcW w:w="80" w:type="dxa"/>
            <w:vAlign w:val="bottom"/>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172</w:t>
            </w:r>
          </w:p>
        </w:tc>
        <w:tc>
          <w:tcPr>
            <w:tcW w:w="80" w:type="dxa"/>
            <w:vAlign w:val="bottom"/>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123</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Contingencies, and Uncertainties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are involved in litigation or proceedings that arise in ordinary business activities. When possible, we insure against these risks to the extent we deem prudent, but no assurance can be given that the nature or amount of such insurance will be sufficient to fully indemnify us against liabilities arising out of pending and future legal proceedings. Many of these insurance policies contain self-insured retentions in amounts we deem prudent. Based on our current assessment of information available as of the date of these consolidated financial statements, we believe that our consolidated financial statements include adequate provisions for estimated costs and losses that may be incurred within the litigation and proceedings to which we are a party.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Related Party Transactions</w:t>
      </w:r>
    </w:p>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deemed a related party under the applicable accounting standards with the United States federal government as a result of entering the UST Credit Agreements in 2020 and the associated issuance of common stock to the UST. In the ordinary course of business, the Company has continued to regularly transact with various authorities associated with the United States federal government (the “U.S. government”) and to also operate in an industry subject to various U.S. government regulations. These transactions and regulatory oversight relationships include the Company providing a full range of transportation services to various U.S. government entities and the Company being subject to certain applicable U.S. government regulations such as those of the U.S. Departments of Transportation and Homeland Security, as examples.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4" w:right="3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Yellow Corporation: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Yellow Corporation and subsidiaries (the Company) as of December 31, 2022 and 2021, the related consolidated statements of operations, comprehensive income (loss), shareholders’ deficit, and cash flows for each of the years in the three-year period ended December 31, 2022, and the related notes (collectively, the consolidated financial statements). In our opinion, the consolidated financial statements present fairly, in all material respects, the financial position of the Company as of December 31, 2022 and 2021, and the results of its operations and its cash flows for each of the years in the three-year period ended December 31, 2022, in conformity with U.S. generally accepted accounting principles.</w:t>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2022,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February 9, 2023 expressed an unqualified opinion on the effectiveness of the Company’s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i w:val="1"/>
          <w:iCs w:val="1"/>
          <w:color w:val="auto"/>
        </w:rPr>
        <w:t>Critical Audit Matter</w:t>
      </w:r>
    </w:p>
    <w:p>
      <w:pPr>
        <w:spacing w:after="0" w:line="25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Self-insurance accruals</w:t>
      </w:r>
    </w:p>
    <w:p>
      <w:pPr>
        <w:spacing w:after="0" w:line="25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described in Note 2 to the consolidated financial statements, the Company establishes accruals for workers’ compensation and property damage and liability claims based upon actuarial analyses prepared by independent actuaries. The Company has recorded accruals for workers’ compensation claims of $225.7 million and property damage and liability claims of $99.5 million as of December 31, 2022. The accruals for workers’ compensation and property damage and liability claims are based upon individual case estimates and actuarial estimates for loss development factors based upon past experience. These estimates are based on historical loss experience and judgments about the present and expected levels of costs per claim and the time required to settle claims.</w:t>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identified the evaluation of the estimate of the Company’s self-insurance accruals for workers’ compensation and property damage and liability claims as a critical audit matter. Subjective auditor judgment and specialized skills and knowledge were required to evaluate the selection of actuarial methods and assumptions used in estimating the accruals for claims. Specifically, evaluating the loss development factor assumptions used in the Company’s actuarial analysis involved a high degree of complexity and subjectivity.</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are the primary procedures we performed to address this critical audit matter. We evaluated the design and tested the operating effectiveness of certain internal controls related to the Company’s self-insurance process, including controls over the selection of actuarial methods and development of loss development factor assumptions used in estimating the self-insurance accruals for claims. We involved actuarial professionals with specialized skills and knowledge who assisted in:</w:t>
      </w:r>
    </w:p>
    <w:p>
      <w:pPr>
        <w:spacing w:after="0" w:line="280" w:lineRule="exact"/>
        <w:rPr>
          <w:sz w:val="20"/>
          <w:szCs w:val="20"/>
          <w:color w:val="auto"/>
        </w:rPr>
      </w:pPr>
    </w:p>
    <w:p>
      <w:pPr>
        <w:ind w:left="1540" w:hanging="514"/>
        <w:spacing w:after="0"/>
        <w:tabs>
          <w:tab w:leader="none" w:pos="1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assessing the actuarial methods used by the Company for consistency with generally accepted actuarial standards</w:t>
      </w:r>
    </w:p>
    <w:p>
      <w:pPr>
        <w:spacing w:after="0" w:line="116" w:lineRule="exact"/>
        <w:rPr>
          <w:rFonts w:ascii="Arial" w:cs="Arial" w:eastAsia="Arial" w:hAnsi="Arial"/>
          <w:sz w:val="18"/>
          <w:szCs w:val="18"/>
          <w:color w:val="auto"/>
        </w:rPr>
      </w:pPr>
    </w:p>
    <w:p>
      <w:pPr>
        <w:ind w:left="1540" w:right="20" w:hanging="514"/>
        <w:spacing w:after="0" w:line="277" w:lineRule="auto"/>
        <w:tabs>
          <w:tab w:leader="none" w:pos="1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evaluating the Company’s ability to estimate self-insurance accruals by comparing its historical estimates based on actuarial methods with actual claim activity</w:t>
      </w:r>
    </w:p>
    <w:p>
      <w:pPr>
        <w:spacing w:after="0" w:line="61" w:lineRule="exact"/>
        <w:rPr>
          <w:rFonts w:ascii="Arial" w:cs="Arial" w:eastAsia="Arial" w:hAnsi="Arial"/>
          <w:sz w:val="18"/>
          <w:szCs w:val="18"/>
          <w:color w:val="auto"/>
        </w:rPr>
      </w:pPr>
    </w:p>
    <w:p>
      <w:pPr>
        <w:ind w:left="1540" w:hanging="514"/>
        <w:spacing w:after="0" w:line="277" w:lineRule="auto"/>
        <w:tabs>
          <w:tab w:leader="none" w:pos="1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evaluating the Company’s actuarial loss development factor assumptions underlying the accruals for consistency with the Company’s historical reported and paid loss development</w:t>
      </w:r>
    </w:p>
    <w:p>
      <w:pPr>
        <w:spacing w:after="0" w:line="61" w:lineRule="exact"/>
        <w:rPr>
          <w:rFonts w:ascii="Arial" w:cs="Arial" w:eastAsia="Arial" w:hAnsi="Arial"/>
          <w:sz w:val="18"/>
          <w:szCs w:val="18"/>
          <w:color w:val="auto"/>
        </w:rPr>
      </w:pPr>
    </w:p>
    <w:p>
      <w:pPr>
        <w:ind w:left="1540" w:hanging="514"/>
        <w:spacing w:after="0" w:line="277" w:lineRule="auto"/>
        <w:tabs>
          <w:tab w:leader="none" w:pos="1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developing an independent range for claim accruals using the Company’s historical loss data and independently developed actuarial assumptions and comparing those expectations to the Company’s claim accruals.</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KPMG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Kansas City, Missouri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9, 2023</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Yellow Corporation: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Internal Control Over Financial Reporting</w:t>
      </w:r>
    </w:p>
    <w:p>
      <w:pPr>
        <w:spacing w:after="0" w:line="9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 xml:space="preserve">We have audited Yellow Corporation and subsidiaries' (the Company) internal control over financial reporting as of December 31, 2022,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issued by the Committee of Sponsoring Organizations of the Treadway Commission. In our opinion, the Company maintained, in all material respects, effective internal control over financial reporting as of December 31, 2022,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w:t>
      </w:r>
    </w:p>
    <w:p>
      <w:pPr>
        <w:spacing w:after="0" w:line="15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of the Company as of December 31, 2022 and 2021, the related consolidated statements of operations, comprehensive income (loss), shareholders’ deficit, and cash flows for each of the years in the three-year period ended December 31, 2022, and the related notes (collectively, the consolidated financial statements), and our report dated February 9, 2023 expressed an unqualified opinion on those consolidated financial statements.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0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10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KPMG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Kansas City, Missouri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9,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65" w:name="page66"/>
    <w:bookmarkEnd w:id="65"/>
    <w:p>
      <w:pPr>
        <w:ind w:right="4200"/>
        <w:spacing w:after="0" w:line="461" w:lineRule="auto"/>
        <w:rPr>
          <w:sz w:val="20"/>
          <w:szCs w:val="20"/>
          <w:color w:val="auto"/>
        </w:rPr>
      </w:pPr>
      <w:r>
        <w:rPr>
          <w:rFonts w:ascii="Arial" w:cs="Arial" w:eastAsia="Arial" w:hAnsi="Arial"/>
          <w:sz w:val="18"/>
          <w:szCs w:val="18"/>
          <w:u w:val="single" w:color="auto"/>
          <w:color w:val="auto"/>
        </w:rPr>
        <w:t xml:space="preserve">Item 9. Changes in and Disagreements with Accountants on Accounting and Financial Disclosure </w:t>
      </w:r>
      <w:r>
        <w:rPr>
          <w:rFonts w:ascii="Arial" w:cs="Arial" w:eastAsia="Arial" w:hAnsi="Arial"/>
          <w:sz w:val="18"/>
          <w:szCs w:val="18"/>
          <w:color w:val="auto"/>
        </w:rPr>
        <w:t>Not applicable.</w:t>
      </w:r>
    </w:p>
    <w:p>
      <w:pPr>
        <w:spacing w:after="0"/>
        <w:rPr>
          <w:sz w:val="20"/>
          <w:szCs w:val="20"/>
          <w:color w:val="auto"/>
        </w:rPr>
      </w:pPr>
      <w:r>
        <w:rPr>
          <w:rFonts w:ascii="Arial" w:cs="Arial" w:eastAsia="Arial" w:hAnsi="Arial"/>
          <w:sz w:val="18"/>
          <w:szCs w:val="18"/>
          <w:u w:val="single" w:color="auto"/>
          <w:color w:val="auto"/>
        </w:rPr>
        <w:t>Item 9A. Controls and Procedures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required by the Exchange Act, we maintain disclosure controls and procedures designed to ensure that information we are required to disclose in reports that we file or submit under the Exchange Act, is recorded, processed, summarized and reported within the time periods specified in the SEC’s rules and forms. Our disclosure controls and procedures include, without limitation, controls and procedures designed to ensure that information we are required to disclose in reports that we file or submit under the Exchange Act is accumulated and communicated to our management, including our principal executive and principal financial officers, as appropriate to allow timely decisions regarding required disclosure. Our management, with the participation of our principal executive and financial officers, has evaluated our disclosure controls and procedures as of December 31, 2022 and has concluded that our disclosure controls and procedures were effective as of December 31, 2022.</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changes in our internal controls over financial reporting that occurred during the fiscal quarter ended December 31, 2022 that have materially affected, or are reasonably likely to materially affect our internal controls over financial reporting.</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Report on Internal Control Over Financial Reporting</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management is responsible for establishing and maintaining effective internal control over our financial reporting, which is designed to provide reasonable assurance regarding the reliability of financial reporting and the preparation of consolidated financial statements for external purposes in accordance with generally accepted accounting principles.</w:t>
      </w:r>
    </w:p>
    <w:p>
      <w:pPr>
        <w:spacing w:after="0" w:line="142" w:lineRule="exact"/>
        <w:rPr>
          <w:sz w:val="20"/>
          <w:szCs w:val="20"/>
          <w:color w:val="auto"/>
        </w:rPr>
      </w:pPr>
    </w:p>
    <w:p>
      <w:pPr>
        <w:jc w:val="both"/>
        <w:ind w:right="20"/>
        <w:spacing w:after="0" w:line="341" w:lineRule="auto"/>
        <w:rPr>
          <w:sz w:val="20"/>
          <w:szCs w:val="20"/>
          <w:color w:val="auto"/>
        </w:rPr>
      </w:pPr>
      <w:r>
        <w:rPr>
          <w:rFonts w:ascii="Arial" w:cs="Arial" w:eastAsia="Arial" w:hAnsi="Arial"/>
          <w:sz w:val="16"/>
          <w:szCs w:val="16"/>
          <w:color w:val="auto"/>
        </w:rPr>
        <w:t xml:space="preserve">Our management assessed the effectiveness of our system of internal control over financial reporting as of December 31, 2022 based on the framework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w:t>
      </w:r>
    </w:p>
    <w:p>
      <w:pPr>
        <w:spacing w:after="0" w:line="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on its assessment using those criteria, our management concluded that, as of December 31, 2022, our system of internal control over financial reporting was effective.</w:t>
      </w:r>
    </w:p>
    <w:p>
      <w:pPr>
        <w:spacing w:after="0" w:line="1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KPMG LLP, the independent registered public accounting firm that audited our December 31, 2022 consolidated financial statements, has issued an audit report on our system of internal control over financial reporting. The KPMG LLP audit report is included herein.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9B. Other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9C. Disclosure Regarding Foreign Jurisdictions that Prevent Inspections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PART III</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Directors, Executive Officers and Corporate Governance</w:t>
      </w:r>
    </w:p>
    <w:p>
      <w:pPr>
        <w:spacing w:after="0" w:line="19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Pursuant to General Instruction G to Form 10-K, the information required by this item, other than information regarding (i) our executive officers, which is incorporated by reference to Part I of this Form 10-K under the heading “Information about our Executive Officers,” and (ii) our code of ethics, which is described below and titled the “Code of Business Conduct,” is included under the captions “Directors to be Elected by our Stockholders,” “Directors Selected by the Holder of our Series A Preferred Stock,” “Stockholder Proposals and Director Nomination for 2022 Annual Meeting,” “Structure and Functioning of the Board Audit &amp; Ethics Committee,” and “Section 16(a) Beneficial Ownership Reporting Compliance” in our Proxy Statement related to the 2022 Annual Meeting of Stockholders and is incorporated herein by reference.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adopted a written Code of Business Conduct that applies to all of our directors, officers and employees, including our principal executive officer, principal financial officer and principal accounting officer. It is available under “Governance” and therein under "Documents &amp; Charters" on our website located at www.myyellow.com. We intend to disclose any amendments or waivers to our Code of Business Conduct by posting such information on our website located at www.myyellow.com, other than technical, administrative or non-substantive amendments, and any waivers, including implicit waivers, from any provision of our Code of Business Conduct that applies to our principal executive officer, principal financial officer, principal accounting officer or controller, which information will be disclosed via SEC filing.</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11. Executive Compensation</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Pursuant to General Instruction G to Form 10-K, the information required by this item is included under the captions “Compensation Committee Interlocks and Insider Participation,” “Director Compensation,” “Compensation Discussion and Analysis,” “Compensation Committee Report” and “Executive Compensation” in our Proxy Statement related to the 2023 Annual Meeting of Stockholders and is incorporated herein by reference.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12. Security Ownership of Certain Beneficial Owners and Management and Related Shareholder Matters</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General Instruction G to Form 10-K, the information required by this item is included under the captions “Security Ownership of Management and Directors,” “Security Ownership of Certain Beneficial Owners” and “Equity Compensation Plan Information” in our Proxy Statement related to the 2023 Annual Meeting of Stockholders and is incorporated herein by reference.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13. Certain Relationships and Related Transactions, and Director Independence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General Instruction G to Form 10-K, the information required by this item is included under the captions “Structure and Functioning of the Board” and “Certain Relationships and Related Transactions” in our Proxy Statement related to the 2023 Annual Meeting of Stockholders and is incorporated herein by reference.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14. Principal Accountant Fees and Services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General Instruction G to Form 10-K, the information required by this item is included under the caption “Audit and Audit-Related Fees” in our Proxy Statement related to the 2023 Annual Meeting of Stockholders and is incorporated herein by reference.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PART IV</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15. Exhibits and Financial Statement Schedules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(a)(1)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consolidated financial statements of the Company included under Item 8 - Financial Statements and Supplementary Data.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(a)(3) Exhibits</w:t>
      </w:r>
    </w:p>
    <w:p>
      <w:pPr>
        <w:spacing w:after="0" w:line="23" w:lineRule="exact"/>
        <w:rPr>
          <w:sz w:val="20"/>
          <w:szCs w:val="20"/>
          <w:color w:val="auto"/>
        </w:rPr>
      </w:pPr>
    </w:p>
    <w:p>
      <w:pPr>
        <w:ind w:left="200"/>
        <w:spacing w:after="0"/>
        <w:tabs>
          <w:tab w:leader="none" w:pos="1240" w:val="left"/>
        </w:tabs>
        <w:rPr>
          <w:rFonts w:ascii="Arial" w:cs="Arial" w:eastAsia="Arial" w:hAnsi="Arial"/>
          <w:sz w:val="16"/>
          <w:szCs w:val="16"/>
          <w:u w:val="single" w:color="auto"/>
          <w:color w:val="0563C1"/>
        </w:rPr>
      </w:pPr>
      <w:r>
        <w:rPr>
          <w:rFonts w:ascii="Arial" w:cs="Arial" w:eastAsia="Arial" w:hAnsi="Arial"/>
          <w:sz w:val="18"/>
          <w:szCs w:val="18"/>
          <w:color w:val="auto"/>
        </w:rPr>
        <w:t>3.1.1</w:t>
      </w:r>
      <w:r>
        <w:rPr>
          <w:sz w:val="20"/>
          <w:szCs w:val="20"/>
          <w:color w:val="auto"/>
        </w:rPr>
        <w:tab/>
      </w:r>
      <w:hyperlink r:id="rId308">
        <w:r>
          <w:rPr>
            <w:rFonts w:ascii="Arial" w:cs="Arial" w:eastAsia="Arial" w:hAnsi="Arial"/>
            <w:sz w:val="16"/>
            <w:szCs w:val="16"/>
            <w:u w:val="single" w:color="auto"/>
            <w:color w:val="0563C1"/>
          </w:rPr>
          <w:t>Amended and Restated Certificate of Incorporation of the Company (incorporated by reference to Exhibit 3.1 to Current Report on Form</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801370</wp:posOffset>
            </wp:positionH>
            <wp:positionV relativeFrom="paragraph">
              <wp:posOffset>-10795</wp:posOffset>
            </wp:positionV>
            <wp:extent cx="632650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9">
                      <a:extLst>
                        <a:ext uri="{28A0092B-C50C-407E-A947-70E740481C1C}"/>
                      </a:extLst>
                    </a:blip>
                    <a:srcRect/>
                    <a:stretch>
                      <a:fillRect/>
                    </a:stretch>
                  </pic:blipFill>
                  <pic:spPr bwMode="auto">
                    <a:xfrm>
                      <a:off x="0" y="0"/>
                      <a:ext cx="6326505" cy="8255"/>
                    </a:xfrm>
                    <a:prstGeom prst="rect">
                      <a:avLst/>
                    </a:prstGeom>
                    <a:noFill/>
                  </pic:spPr>
                </pic:pic>
              </a:graphicData>
            </a:graphic>
          </wp:anchor>
        </w:drawing>
      </w:r>
    </w:p>
    <w:p>
      <w:pPr>
        <w:spacing w:after="0" w:line="2" w:lineRule="exact"/>
        <w:rPr>
          <w:sz w:val="20"/>
          <w:szCs w:val="20"/>
          <w:color w:val="auto"/>
        </w:rPr>
      </w:pPr>
    </w:p>
    <w:p>
      <w:pPr>
        <w:ind w:left="1260"/>
        <w:spacing w:after="0"/>
        <w:rPr>
          <w:rFonts w:ascii="Arial" w:cs="Arial" w:eastAsia="Arial" w:hAnsi="Arial"/>
          <w:sz w:val="18"/>
          <w:szCs w:val="18"/>
          <w:u w:val="single" w:color="auto"/>
          <w:color w:val="0563C1"/>
        </w:rPr>
      </w:pPr>
      <w:hyperlink r:id="rId308">
        <w:r>
          <w:rPr>
            <w:rFonts w:ascii="Arial" w:cs="Arial" w:eastAsia="Arial" w:hAnsi="Arial"/>
            <w:sz w:val="18"/>
            <w:szCs w:val="18"/>
            <w:u w:val="single" w:color="auto"/>
            <w:color w:val="0563C1"/>
          </w:rPr>
          <w:t>8-K, filed on September 16, 2011, File No. 000-12255).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801370</wp:posOffset>
            </wp:positionH>
            <wp:positionV relativeFrom="paragraph">
              <wp:posOffset>-19685</wp:posOffset>
            </wp:positionV>
            <wp:extent cx="254698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0">
                      <a:extLst>
                        <a:ext uri="{28A0092B-C50C-407E-A947-70E740481C1C}"/>
                      </a:extLst>
                    </a:blip>
                    <a:srcRect/>
                    <a:stretch>
                      <a:fillRect/>
                    </a:stretch>
                  </pic:blipFill>
                  <pic:spPr bwMode="auto">
                    <a:xfrm>
                      <a:off x="0" y="0"/>
                      <a:ext cx="2546985" cy="8255"/>
                    </a:xfrm>
                    <a:prstGeom prst="rect">
                      <a:avLst/>
                    </a:prstGeom>
                    <a:noFill/>
                  </pic:spPr>
                </pic:pic>
              </a:graphicData>
            </a:graphic>
          </wp:anchor>
        </w:drawing>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Pr>
          <w:p>
            <w:pPr>
              <w:jc w:val="right"/>
              <w:ind w:right="610"/>
              <w:spacing w:after="0"/>
              <w:rPr>
                <w:sz w:val="20"/>
                <w:szCs w:val="20"/>
                <w:color w:val="auto"/>
              </w:rPr>
            </w:pPr>
            <w:r>
              <w:rPr>
                <w:rFonts w:ascii="Arial" w:cs="Arial" w:eastAsia="Arial" w:hAnsi="Arial"/>
                <w:sz w:val="18"/>
                <w:szCs w:val="18"/>
                <w:color w:val="auto"/>
              </w:rPr>
              <w:t>3.1.2</w:t>
            </w:r>
          </w:p>
        </w:tc>
        <w:tc>
          <w:tcPr>
            <w:tcW w:w="9980" w:type="dxa"/>
            <w:vAlign w:val="bottom"/>
            <w:tcBorders>
              <w:bottom w:val="single" w:sz="8" w:color="0563C1"/>
            </w:tcBorders>
            <w:gridSpan w:val="14"/>
          </w:tcPr>
          <w:p>
            <w:pPr>
              <w:spacing w:after="0"/>
              <w:rPr>
                <w:rFonts w:ascii="Arial" w:cs="Arial" w:eastAsia="Arial" w:hAnsi="Arial"/>
                <w:sz w:val="18"/>
                <w:szCs w:val="18"/>
                <w:color w:val="0563C1"/>
                <w:w w:val="93"/>
              </w:rPr>
            </w:pPr>
            <w:hyperlink r:id="rId311">
              <w:r>
                <w:rPr>
                  <w:rFonts w:ascii="Arial" w:cs="Arial" w:eastAsia="Arial" w:hAnsi="Arial"/>
                  <w:sz w:val="18"/>
                  <w:szCs w:val="18"/>
                  <w:color w:val="0563C1"/>
                  <w:w w:val="93"/>
                </w:rPr>
                <w:t>Certificate of Designations of Series A Voting Preferred Stock (incorporated by reference to Exhibit 3.1 to Current Report on Form 8-K,</w:t>
              </w:r>
            </w:hyperlink>
          </w:p>
        </w:tc>
      </w:tr>
      <w:tr>
        <w:trPr>
          <w:trHeight w:val="196"/>
        </w:trPr>
        <w:tc>
          <w:tcPr>
            <w:tcW w:w="1260" w:type="dxa"/>
            <w:vAlign w:val="bottom"/>
          </w:tcPr>
          <w:p>
            <w:pPr>
              <w:spacing w:after="0"/>
              <w:rPr>
                <w:sz w:val="17"/>
                <w:szCs w:val="17"/>
                <w:color w:val="auto"/>
              </w:rPr>
            </w:pPr>
          </w:p>
        </w:tc>
        <w:tc>
          <w:tcPr>
            <w:tcW w:w="9980" w:type="dxa"/>
            <w:vAlign w:val="bottom"/>
            <w:gridSpan w:val="14"/>
          </w:tcPr>
          <w:p>
            <w:pPr>
              <w:spacing w:after="0" w:line="195" w:lineRule="exact"/>
              <w:rPr>
                <w:rFonts w:ascii="Arial" w:cs="Arial" w:eastAsia="Arial" w:hAnsi="Arial"/>
                <w:sz w:val="18"/>
                <w:szCs w:val="18"/>
                <w:color w:val="0563C1"/>
              </w:rPr>
            </w:pPr>
            <w:hyperlink r:id="rId311">
              <w:r>
                <w:rPr>
                  <w:rFonts w:ascii="Arial" w:cs="Arial" w:eastAsia="Arial" w:hAnsi="Arial"/>
                  <w:sz w:val="18"/>
                  <w:szCs w:val="18"/>
                  <w:color w:val="0563C1"/>
                </w:rPr>
                <w:t>filed on July 25, 2011, File No. 000-12255)</w:t>
              </w:r>
            </w:hyperlink>
          </w:p>
        </w:tc>
      </w:tr>
      <w:tr>
        <w:trPr>
          <w:trHeight w:val="20"/>
        </w:trPr>
        <w:tc>
          <w:tcPr>
            <w:tcW w:w="1260" w:type="dxa"/>
            <w:vAlign w:val="bottom"/>
          </w:tcPr>
          <w:p>
            <w:pPr>
              <w:spacing w:after="0" w:line="20" w:lineRule="exact"/>
              <w:rPr>
                <w:sz w:val="1"/>
                <w:szCs w:val="1"/>
                <w:color w:val="auto"/>
              </w:rPr>
            </w:pPr>
          </w:p>
        </w:tc>
        <w:tc>
          <w:tcPr>
            <w:tcW w:w="140" w:type="dxa"/>
            <w:vAlign w:val="bottom"/>
            <w:tcBorders>
              <w:right w:val="single" w:sz="8" w:color="0563C1"/>
            </w:tcBorders>
            <w:shd w:val="clear" w:color="auto" w:fill="0563C1"/>
          </w:tcPr>
          <w:p>
            <w:pPr>
              <w:spacing w:after="0" w:line="20" w:lineRule="exact"/>
              <w:rPr>
                <w:sz w:val="1"/>
                <w:szCs w:val="1"/>
                <w:color w:val="auto"/>
              </w:rPr>
            </w:pPr>
          </w:p>
        </w:tc>
        <w:tc>
          <w:tcPr>
            <w:tcW w:w="860" w:type="dxa"/>
            <w:vAlign w:val="bottom"/>
            <w:shd w:val="clear" w:color="auto" w:fill="0563C1"/>
          </w:tcPr>
          <w:p>
            <w:pPr>
              <w:spacing w:after="0" w:line="20" w:lineRule="exact"/>
              <w:rPr>
                <w:sz w:val="1"/>
                <w:szCs w:val="1"/>
                <w:color w:val="auto"/>
              </w:rPr>
            </w:pPr>
          </w:p>
        </w:tc>
        <w:tc>
          <w:tcPr>
            <w:tcW w:w="1200" w:type="dxa"/>
            <w:vAlign w:val="bottom"/>
            <w:shd w:val="clear" w:color="auto" w:fill="0563C1"/>
          </w:tcPr>
          <w:p>
            <w:pPr>
              <w:spacing w:after="0" w:line="20" w:lineRule="exact"/>
              <w:rPr>
                <w:sz w:val="1"/>
                <w:szCs w:val="1"/>
                <w:color w:val="auto"/>
              </w:rPr>
            </w:pPr>
          </w:p>
        </w:tc>
        <w:tc>
          <w:tcPr>
            <w:tcW w:w="940" w:type="dxa"/>
            <w:vAlign w:val="bottom"/>
            <w:tcBorders>
              <w:right w:val="single" w:sz="8" w:color="0000EE"/>
            </w:tcBorders>
            <w:shd w:val="clear" w:color="auto" w:fill="0563C1"/>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5"/>
        </w:trPr>
        <w:tc>
          <w:tcPr>
            <w:tcW w:w="1260" w:type="dxa"/>
            <w:vAlign w:val="bottom"/>
          </w:tcPr>
          <w:p>
            <w:pPr>
              <w:jc w:val="right"/>
              <w:ind w:right="610"/>
              <w:spacing w:after="0"/>
              <w:rPr>
                <w:sz w:val="20"/>
                <w:szCs w:val="20"/>
                <w:color w:val="auto"/>
              </w:rPr>
            </w:pPr>
            <w:r>
              <w:rPr>
                <w:rFonts w:ascii="Arial" w:cs="Arial" w:eastAsia="Arial" w:hAnsi="Arial"/>
                <w:sz w:val="18"/>
                <w:szCs w:val="18"/>
                <w:color w:val="auto"/>
              </w:rPr>
              <w:t>3.1.3</w:t>
            </w:r>
          </w:p>
        </w:tc>
        <w:tc>
          <w:tcPr>
            <w:tcW w:w="9980" w:type="dxa"/>
            <w:vAlign w:val="bottom"/>
            <w:tcBorders>
              <w:bottom w:val="single" w:sz="8" w:color="0563C1"/>
            </w:tcBorders>
            <w:gridSpan w:val="14"/>
          </w:tcPr>
          <w:p>
            <w:pPr>
              <w:spacing w:after="0"/>
              <w:rPr>
                <w:rFonts w:ascii="Arial" w:cs="Arial" w:eastAsia="Arial" w:hAnsi="Arial"/>
                <w:sz w:val="18"/>
                <w:szCs w:val="18"/>
                <w:color w:val="0563C1"/>
                <w:w w:val="93"/>
              </w:rPr>
            </w:pPr>
            <w:hyperlink r:id="rId312">
              <w:r>
                <w:rPr>
                  <w:rFonts w:ascii="Arial" w:cs="Arial" w:eastAsia="Arial" w:hAnsi="Arial"/>
                  <w:sz w:val="18"/>
                  <w:szCs w:val="18"/>
                  <w:color w:val="0563C1"/>
                  <w:w w:val="93"/>
                </w:rPr>
                <w:t>Certificate of Amendment to the Certificate of Incorporation of the Company (incorporated by reference to Exhibit 3.1 to Current Report</w:t>
              </w:r>
            </w:hyperlink>
          </w:p>
        </w:tc>
      </w:tr>
      <w:tr>
        <w:trPr>
          <w:trHeight w:val="196"/>
        </w:trPr>
        <w:tc>
          <w:tcPr>
            <w:tcW w:w="1260" w:type="dxa"/>
            <w:vAlign w:val="bottom"/>
          </w:tcPr>
          <w:p>
            <w:pPr>
              <w:spacing w:after="0"/>
              <w:rPr>
                <w:sz w:val="17"/>
                <w:szCs w:val="17"/>
                <w:color w:val="auto"/>
              </w:rPr>
            </w:pPr>
          </w:p>
        </w:tc>
        <w:tc>
          <w:tcPr>
            <w:tcW w:w="4380" w:type="dxa"/>
            <w:vAlign w:val="bottom"/>
            <w:tcBorders>
              <w:bottom w:val="single" w:sz="8" w:color="0563C1"/>
            </w:tcBorders>
            <w:gridSpan w:val="5"/>
          </w:tcPr>
          <w:p>
            <w:pPr>
              <w:spacing w:after="0" w:line="195" w:lineRule="exact"/>
              <w:rPr>
                <w:rFonts w:ascii="Arial" w:cs="Arial" w:eastAsia="Arial" w:hAnsi="Arial"/>
                <w:sz w:val="18"/>
                <w:szCs w:val="18"/>
                <w:color w:val="0563C1"/>
                <w:w w:val="92"/>
              </w:rPr>
            </w:pPr>
            <w:hyperlink r:id="rId312">
              <w:r>
                <w:rPr>
                  <w:rFonts w:ascii="Arial" w:cs="Arial" w:eastAsia="Arial" w:hAnsi="Arial"/>
                  <w:sz w:val="18"/>
                  <w:szCs w:val="18"/>
                  <w:color w:val="0563C1"/>
                  <w:w w:val="92"/>
                </w:rPr>
                <w:t>on Form 8-K, filed on March 17, 2014, File No. 000-12255).</w:t>
              </w:r>
            </w:hyperlink>
          </w:p>
        </w:tc>
        <w:tc>
          <w:tcPr>
            <w:tcW w:w="5600" w:type="dxa"/>
            <w:vAlign w:val="bottom"/>
            <w:gridSpan w:val="9"/>
          </w:tcPr>
          <w:p>
            <w:pPr>
              <w:spacing w:after="0"/>
              <w:rPr>
                <w:sz w:val="17"/>
                <w:szCs w:val="17"/>
                <w:color w:val="auto"/>
              </w:rPr>
            </w:pPr>
          </w:p>
        </w:tc>
      </w:tr>
      <w:tr>
        <w:trPr>
          <w:trHeight w:val="465"/>
        </w:trPr>
        <w:tc>
          <w:tcPr>
            <w:tcW w:w="1260" w:type="dxa"/>
            <w:vAlign w:val="bottom"/>
          </w:tcPr>
          <w:p>
            <w:pPr>
              <w:jc w:val="right"/>
              <w:ind w:right="610"/>
              <w:spacing w:after="0"/>
              <w:rPr>
                <w:sz w:val="20"/>
                <w:szCs w:val="20"/>
                <w:color w:val="auto"/>
              </w:rPr>
            </w:pPr>
            <w:r>
              <w:rPr>
                <w:rFonts w:ascii="Arial" w:cs="Arial" w:eastAsia="Arial" w:hAnsi="Arial"/>
                <w:sz w:val="18"/>
                <w:szCs w:val="18"/>
                <w:color w:val="auto"/>
              </w:rPr>
              <w:t>3.1.4</w:t>
            </w:r>
          </w:p>
        </w:tc>
        <w:tc>
          <w:tcPr>
            <w:tcW w:w="9980" w:type="dxa"/>
            <w:vAlign w:val="bottom"/>
            <w:tcBorders>
              <w:bottom w:val="single" w:sz="8" w:color="0563C1"/>
            </w:tcBorders>
            <w:gridSpan w:val="14"/>
          </w:tcPr>
          <w:p>
            <w:pPr>
              <w:spacing w:after="0"/>
              <w:rPr>
                <w:rFonts w:ascii="Arial" w:cs="Arial" w:eastAsia="Arial" w:hAnsi="Arial"/>
                <w:sz w:val="18"/>
                <w:szCs w:val="18"/>
                <w:color w:val="0563C1"/>
                <w:w w:val="91"/>
              </w:rPr>
            </w:pPr>
            <w:hyperlink r:id="rId313">
              <w:r>
                <w:rPr>
                  <w:rFonts w:ascii="Arial" w:cs="Arial" w:eastAsia="Arial" w:hAnsi="Arial"/>
                  <w:sz w:val="18"/>
                  <w:szCs w:val="18"/>
                  <w:color w:val="0563C1"/>
                  <w:w w:val="91"/>
                </w:rPr>
                <w:t>Certificate of Ownership and Merger, effective February 4, 2021, changing the name of the Company to Yellow Corporation (incorporated</w:t>
              </w:r>
            </w:hyperlink>
          </w:p>
        </w:tc>
      </w:tr>
      <w:tr>
        <w:trPr>
          <w:trHeight w:val="196"/>
        </w:trPr>
        <w:tc>
          <w:tcPr>
            <w:tcW w:w="1260" w:type="dxa"/>
            <w:vAlign w:val="bottom"/>
          </w:tcPr>
          <w:p>
            <w:pPr>
              <w:spacing w:after="0"/>
              <w:rPr>
                <w:sz w:val="17"/>
                <w:szCs w:val="17"/>
                <w:color w:val="auto"/>
              </w:rPr>
            </w:pPr>
          </w:p>
        </w:tc>
        <w:tc>
          <w:tcPr>
            <w:tcW w:w="9980" w:type="dxa"/>
            <w:vAlign w:val="bottom"/>
            <w:gridSpan w:val="14"/>
          </w:tcPr>
          <w:p>
            <w:pPr>
              <w:spacing w:after="0" w:line="195" w:lineRule="exact"/>
              <w:rPr>
                <w:rFonts w:ascii="Arial" w:cs="Arial" w:eastAsia="Arial" w:hAnsi="Arial"/>
                <w:sz w:val="18"/>
                <w:szCs w:val="18"/>
                <w:color w:val="0563C1"/>
              </w:rPr>
            </w:pPr>
            <w:hyperlink r:id="rId313">
              <w:r>
                <w:rPr>
                  <w:rFonts w:ascii="Arial" w:cs="Arial" w:eastAsia="Arial" w:hAnsi="Arial"/>
                  <w:sz w:val="18"/>
                  <w:szCs w:val="18"/>
                  <w:color w:val="0563C1"/>
                </w:rPr>
                <w:t>by reference to Exhibit 3.1 to Current Report on Form 8-K, filed on February 4, 2021, File No. 000-12255).</w:t>
              </w:r>
            </w:hyperlink>
          </w:p>
        </w:tc>
      </w:tr>
      <w:tr>
        <w:trPr>
          <w:trHeight w:val="20"/>
        </w:trPr>
        <w:tc>
          <w:tcPr>
            <w:tcW w:w="1260" w:type="dxa"/>
            <w:vAlign w:val="bottom"/>
          </w:tcPr>
          <w:p>
            <w:pPr>
              <w:spacing w:after="0" w:line="20" w:lineRule="exact"/>
              <w:rPr>
                <w:sz w:val="1"/>
                <w:szCs w:val="1"/>
                <w:color w:val="auto"/>
              </w:rPr>
            </w:pPr>
          </w:p>
        </w:tc>
        <w:tc>
          <w:tcPr>
            <w:tcW w:w="140" w:type="dxa"/>
            <w:vAlign w:val="bottom"/>
            <w:tcBorders>
              <w:right w:val="single" w:sz="8" w:color="0563C1"/>
            </w:tcBorders>
            <w:shd w:val="clear" w:color="auto" w:fill="0563C1"/>
          </w:tcPr>
          <w:p>
            <w:pPr>
              <w:spacing w:after="0" w:line="20" w:lineRule="exact"/>
              <w:rPr>
                <w:sz w:val="1"/>
                <w:szCs w:val="1"/>
                <w:color w:val="auto"/>
              </w:rPr>
            </w:pPr>
          </w:p>
        </w:tc>
        <w:tc>
          <w:tcPr>
            <w:tcW w:w="860" w:type="dxa"/>
            <w:vAlign w:val="bottom"/>
            <w:shd w:val="clear" w:color="auto" w:fill="0563C1"/>
          </w:tcPr>
          <w:p>
            <w:pPr>
              <w:spacing w:after="0" w:line="20" w:lineRule="exact"/>
              <w:rPr>
                <w:sz w:val="1"/>
                <w:szCs w:val="1"/>
                <w:color w:val="auto"/>
              </w:rPr>
            </w:pPr>
          </w:p>
        </w:tc>
        <w:tc>
          <w:tcPr>
            <w:tcW w:w="1200" w:type="dxa"/>
            <w:vAlign w:val="bottom"/>
            <w:shd w:val="clear" w:color="auto" w:fill="0563C1"/>
          </w:tcPr>
          <w:p>
            <w:pPr>
              <w:spacing w:after="0" w:line="20" w:lineRule="exact"/>
              <w:rPr>
                <w:sz w:val="1"/>
                <w:szCs w:val="1"/>
                <w:color w:val="auto"/>
              </w:rPr>
            </w:pPr>
          </w:p>
        </w:tc>
        <w:tc>
          <w:tcPr>
            <w:tcW w:w="940" w:type="dxa"/>
            <w:vAlign w:val="bottom"/>
            <w:tcBorders>
              <w:right w:val="single" w:sz="8" w:color="0563C1"/>
            </w:tcBorders>
            <w:shd w:val="clear" w:color="auto" w:fill="0563C1"/>
          </w:tcPr>
          <w:p>
            <w:pPr>
              <w:spacing w:after="0" w:line="20" w:lineRule="exact"/>
              <w:rPr>
                <w:sz w:val="1"/>
                <w:szCs w:val="1"/>
                <w:color w:val="auto"/>
              </w:rPr>
            </w:pPr>
          </w:p>
        </w:tc>
        <w:tc>
          <w:tcPr>
            <w:tcW w:w="2320" w:type="dxa"/>
            <w:vAlign w:val="bottom"/>
            <w:gridSpan w:val="2"/>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1380" w:type="dxa"/>
            <w:vAlign w:val="bottom"/>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5"/>
        </w:trPr>
        <w:tc>
          <w:tcPr>
            <w:tcW w:w="1260" w:type="dxa"/>
            <w:vAlign w:val="bottom"/>
          </w:tcPr>
          <w:p>
            <w:pPr>
              <w:ind w:left="200"/>
              <w:spacing w:after="0"/>
              <w:rPr>
                <w:sz w:val="20"/>
                <w:szCs w:val="20"/>
                <w:color w:val="auto"/>
              </w:rPr>
            </w:pPr>
            <w:r>
              <w:rPr>
                <w:rFonts w:ascii="Arial" w:cs="Arial" w:eastAsia="Arial" w:hAnsi="Arial"/>
                <w:sz w:val="18"/>
                <w:szCs w:val="18"/>
                <w:color w:val="auto"/>
              </w:rPr>
              <w:t>3.2</w:t>
            </w:r>
          </w:p>
        </w:tc>
        <w:tc>
          <w:tcPr>
            <w:tcW w:w="9980" w:type="dxa"/>
            <w:vAlign w:val="bottom"/>
            <w:tcBorders>
              <w:bottom w:val="single" w:sz="8" w:color="0563C1"/>
            </w:tcBorders>
            <w:gridSpan w:val="14"/>
          </w:tcPr>
          <w:p>
            <w:pPr>
              <w:spacing w:after="0"/>
              <w:rPr>
                <w:rFonts w:ascii="Arial" w:cs="Arial" w:eastAsia="Arial" w:hAnsi="Arial"/>
                <w:sz w:val="18"/>
                <w:szCs w:val="18"/>
                <w:color w:val="0563C1"/>
                <w:w w:val="94"/>
              </w:rPr>
            </w:pPr>
            <w:hyperlink r:id="rId314">
              <w:r>
                <w:rPr>
                  <w:rFonts w:ascii="Arial" w:cs="Arial" w:eastAsia="Arial" w:hAnsi="Arial"/>
                  <w:sz w:val="18"/>
                  <w:szCs w:val="18"/>
                  <w:color w:val="0563C1"/>
                  <w:w w:val="94"/>
                </w:rPr>
                <w:t>Second Amended and Restated Bylaws of the Company, adopted as of February 4, 2021 (incorporated by reference to Exhibit 3.2 to</w:t>
              </w:r>
            </w:hyperlink>
          </w:p>
        </w:tc>
      </w:tr>
      <w:tr>
        <w:trPr>
          <w:trHeight w:val="196"/>
        </w:trPr>
        <w:tc>
          <w:tcPr>
            <w:tcW w:w="1260" w:type="dxa"/>
            <w:vAlign w:val="bottom"/>
          </w:tcPr>
          <w:p>
            <w:pPr>
              <w:spacing w:after="0"/>
              <w:rPr>
                <w:sz w:val="17"/>
                <w:szCs w:val="17"/>
                <w:color w:val="auto"/>
              </w:rPr>
            </w:pPr>
          </w:p>
        </w:tc>
        <w:tc>
          <w:tcPr>
            <w:tcW w:w="5600" w:type="dxa"/>
            <w:vAlign w:val="bottom"/>
            <w:tcBorders>
              <w:bottom w:val="single" w:sz="8" w:color="0563C1"/>
            </w:tcBorders>
            <w:gridSpan w:val="7"/>
          </w:tcPr>
          <w:p>
            <w:pPr>
              <w:spacing w:after="0" w:line="195" w:lineRule="exact"/>
              <w:rPr>
                <w:rFonts w:ascii="Arial" w:cs="Arial" w:eastAsia="Arial" w:hAnsi="Arial"/>
                <w:sz w:val="18"/>
                <w:szCs w:val="18"/>
                <w:color w:val="0563C1"/>
                <w:w w:val="91"/>
              </w:rPr>
            </w:pPr>
            <w:hyperlink r:id="rId314">
              <w:r>
                <w:rPr>
                  <w:rFonts w:ascii="Arial" w:cs="Arial" w:eastAsia="Arial" w:hAnsi="Arial"/>
                  <w:sz w:val="18"/>
                  <w:szCs w:val="18"/>
                  <w:color w:val="0563C1"/>
                  <w:w w:val="91"/>
                </w:rPr>
                <w:t>Current Report on Form 8-K, filed on February 4, 2021, File No. 000-12255).</w:t>
              </w:r>
            </w:hyperlink>
          </w:p>
        </w:tc>
        <w:tc>
          <w:tcPr>
            <w:tcW w:w="4380" w:type="dxa"/>
            <w:vAlign w:val="bottom"/>
            <w:gridSpan w:val="7"/>
          </w:tcPr>
          <w:p>
            <w:pPr>
              <w:spacing w:after="0"/>
              <w:rPr>
                <w:sz w:val="17"/>
                <w:szCs w:val="17"/>
                <w:color w:val="auto"/>
              </w:rPr>
            </w:pPr>
          </w:p>
        </w:tc>
      </w:tr>
      <w:tr>
        <w:trPr>
          <w:trHeight w:val="412"/>
        </w:trPr>
        <w:tc>
          <w:tcPr>
            <w:tcW w:w="11240" w:type="dxa"/>
            <w:vAlign w:val="bottom"/>
            <w:gridSpan w:val="15"/>
          </w:tcPr>
          <w:p>
            <w:pPr>
              <w:ind w:left="20"/>
              <w:spacing w:after="0"/>
              <w:rPr>
                <w:sz w:val="20"/>
                <w:szCs w:val="20"/>
                <w:color w:val="auto"/>
              </w:rPr>
            </w:pPr>
            <w:r>
              <w:rPr>
                <w:rFonts w:ascii="Arial" w:cs="Arial" w:eastAsia="Arial" w:hAnsi="Arial"/>
                <w:sz w:val="18"/>
                <w:szCs w:val="18"/>
                <w:color w:val="auto"/>
              </w:rPr>
              <w:t>(4) Instruments Defining the Right of Security Holders, Including Indentures</w:t>
            </w:r>
          </w:p>
        </w:tc>
      </w:tr>
      <w:tr>
        <w:trPr>
          <w:trHeight w:val="351"/>
        </w:trPr>
        <w:tc>
          <w:tcPr>
            <w:tcW w:w="1260" w:type="dxa"/>
            <w:vAlign w:val="bottom"/>
          </w:tcPr>
          <w:p>
            <w:pPr>
              <w:ind w:left="200"/>
              <w:spacing w:after="0"/>
              <w:rPr>
                <w:sz w:val="20"/>
                <w:szCs w:val="20"/>
                <w:color w:val="auto"/>
              </w:rPr>
            </w:pPr>
            <w:r>
              <w:rPr>
                <w:rFonts w:ascii="Arial" w:cs="Arial" w:eastAsia="Arial" w:hAnsi="Arial"/>
                <w:sz w:val="18"/>
                <w:szCs w:val="18"/>
                <w:color w:val="auto"/>
              </w:rPr>
              <w:t>4.1*</w:t>
            </w:r>
          </w:p>
        </w:tc>
        <w:tc>
          <w:tcPr>
            <w:tcW w:w="9980" w:type="dxa"/>
            <w:vAlign w:val="bottom"/>
            <w:gridSpan w:val="14"/>
          </w:tcPr>
          <w:p>
            <w:pPr>
              <w:spacing w:after="0"/>
              <w:rPr>
                <w:sz w:val="20"/>
                <w:szCs w:val="20"/>
                <w:color w:val="auto"/>
              </w:rPr>
            </w:pPr>
            <w:r>
              <w:rPr>
                <w:rFonts w:ascii="Arial" w:cs="Arial" w:eastAsia="Arial" w:hAnsi="Arial"/>
                <w:sz w:val="18"/>
                <w:szCs w:val="18"/>
                <w:color w:val="0563C1"/>
              </w:rPr>
              <w:t>Description of Common Stock</w:t>
            </w:r>
          </w:p>
        </w:tc>
      </w:tr>
      <w:tr>
        <w:trPr>
          <w:trHeight w:val="20"/>
        </w:trPr>
        <w:tc>
          <w:tcPr>
            <w:tcW w:w="1260" w:type="dxa"/>
            <w:vAlign w:val="bottom"/>
          </w:tcPr>
          <w:p>
            <w:pPr>
              <w:spacing w:after="0" w:line="20" w:lineRule="exact"/>
              <w:rPr>
                <w:sz w:val="1"/>
                <w:szCs w:val="1"/>
                <w:color w:val="auto"/>
              </w:rPr>
            </w:pPr>
          </w:p>
        </w:tc>
        <w:tc>
          <w:tcPr>
            <w:tcW w:w="140" w:type="dxa"/>
            <w:vAlign w:val="bottom"/>
            <w:tcBorders>
              <w:right w:val="single" w:sz="8" w:color="0563C1"/>
            </w:tcBorders>
            <w:shd w:val="clear" w:color="auto" w:fill="0563C1"/>
          </w:tcPr>
          <w:p>
            <w:pPr>
              <w:spacing w:after="0" w:line="20" w:lineRule="exact"/>
              <w:rPr>
                <w:sz w:val="1"/>
                <w:szCs w:val="1"/>
                <w:color w:val="auto"/>
              </w:rPr>
            </w:pPr>
          </w:p>
        </w:tc>
        <w:tc>
          <w:tcPr>
            <w:tcW w:w="860" w:type="dxa"/>
            <w:vAlign w:val="bottom"/>
            <w:shd w:val="clear" w:color="auto" w:fill="0563C1"/>
          </w:tcPr>
          <w:p>
            <w:pPr>
              <w:spacing w:after="0" w:line="20" w:lineRule="exact"/>
              <w:rPr>
                <w:sz w:val="1"/>
                <w:szCs w:val="1"/>
                <w:color w:val="auto"/>
              </w:rPr>
            </w:pPr>
          </w:p>
        </w:tc>
        <w:tc>
          <w:tcPr>
            <w:tcW w:w="1200" w:type="dxa"/>
            <w:vAlign w:val="bottom"/>
            <w:shd w:val="clear" w:color="auto" w:fill="0563C1"/>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87"/>
        </w:trPr>
        <w:tc>
          <w:tcPr>
            <w:tcW w:w="11240" w:type="dxa"/>
            <w:vAlign w:val="bottom"/>
            <w:gridSpan w:val="15"/>
          </w:tcPr>
          <w:p>
            <w:pPr>
              <w:spacing w:after="0"/>
              <w:rPr>
                <w:sz w:val="20"/>
                <w:szCs w:val="20"/>
                <w:color w:val="auto"/>
              </w:rPr>
            </w:pPr>
            <w:r>
              <w:rPr>
                <w:rFonts w:ascii="Arial" w:cs="Arial" w:eastAsia="Arial" w:hAnsi="Arial"/>
                <w:sz w:val="18"/>
                <w:szCs w:val="18"/>
                <w:color w:val="auto"/>
              </w:rPr>
              <w:t>(10) Material Contracts</w:t>
            </w:r>
          </w:p>
        </w:tc>
      </w:tr>
      <w:tr>
        <w:trPr>
          <w:trHeight w:val="431"/>
        </w:trPr>
        <w:tc>
          <w:tcPr>
            <w:tcW w:w="1260" w:type="dxa"/>
            <w:vAlign w:val="bottom"/>
          </w:tcPr>
          <w:p>
            <w:pPr>
              <w:jc w:val="right"/>
              <w:ind w:right="610"/>
              <w:spacing w:after="0"/>
              <w:rPr>
                <w:sz w:val="20"/>
                <w:szCs w:val="20"/>
                <w:color w:val="auto"/>
              </w:rPr>
            </w:pPr>
            <w:r>
              <w:rPr>
                <w:rFonts w:ascii="Arial" w:cs="Arial" w:eastAsia="Arial" w:hAnsi="Arial"/>
                <w:sz w:val="18"/>
                <w:szCs w:val="18"/>
                <w:color w:val="auto"/>
              </w:rPr>
              <w:t>10.1.1</w:t>
            </w:r>
          </w:p>
        </w:tc>
        <w:tc>
          <w:tcPr>
            <w:tcW w:w="140" w:type="dxa"/>
            <w:vAlign w:val="bottom"/>
          </w:tcPr>
          <w:p>
            <w:pPr>
              <w:spacing w:after="0"/>
              <w:rPr>
                <w:sz w:val="24"/>
                <w:szCs w:val="24"/>
                <w:color w:val="auto"/>
              </w:rPr>
            </w:pPr>
          </w:p>
        </w:tc>
        <w:tc>
          <w:tcPr>
            <w:tcW w:w="9840" w:type="dxa"/>
            <w:vAlign w:val="bottom"/>
            <w:gridSpan w:val="13"/>
          </w:tcPr>
          <w:p>
            <w:pPr>
              <w:spacing w:after="0"/>
              <w:rPr>
                <w:rFonts w:ascii="Arial" w:cs="Arial" w:eastAsia="Arial" w:hAnsi="Arial"/>
                <w:sz w:val="18"/>
                <w:szCs w:val="18"/>
                <w:color w:val="0563C1"/>
                <w:w w:val="94"/>
              </w:rPr>
            </w:pPr>
            <w:hyperlink r:id="rId315">
              <w:r>
                <w:rPr>
                  <w:rFonts w:ascii="Arial" w:cs="Arial" w:eastAsia="Arial" w:hAnsi="Arial"/>
                  <w:sz w:val="18"/>
                  <w:szCs w:val="18"/>
                  <w:color w:val="0563C1"/>
                  <w:w w:val="94"/>
                </w:rPr>
                <w:t>National Master Freight Agreement, effective April 1, 2008, among the International Brotherhood of Teamsters, YRC Inc. (formerly,</w:t>
              </w:r>
            </w:hyperlink>
          </w:p>
        </w:tc>
      </w:tr>
      <w:tr>
        <w:trPr>
          <w:trHeight w:val="20"/>
        </w:trPr>
        <w:tc>
          <w:tcPr>
            <w:tcW w:w="12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60" w:type="dxa"/>
            <w:vAlign w:val="bottom"/>
            <w:shd w:val="clear" w:color="auto" w:fill="0563C1"/>
          </w:tcPr>
          <w:p>
            <w:pPr>
              <w:spacing w:after="0" w:line="20" w:lineRule="exact"/>
              <w:rPr>
                <w:sz w:val="1"/>
                <w:szCs w:val="1"/>
                <w:color w:val="auto"/>
              </w:rPr>
            </w:pPr>
          </w:p>
        </w:tc>
        <w:tc>
          <w:tcPr>
            <w:tcW w:w="2140" w:type="dxa"/>
            <w:vAlign w:val="bottom"/>
            <w:tcBorders>
              <w:right w:val="single" w:sz="8" w:color="0563C1"/>
            </w:tcBorders>
            <w:gridSpan w:val="2"/>
            <w:shd w:val="clear" w:color="auto" w:fill="0563C1"/>
          </w:tcPr>
          <w:p>
            <w:pPr>
              <w:spacing w:after="0" w:line="20" w:lineRule="exact"/>
              <w:rPr>
                <w:sz w:val="1"/>
                <w:szCs w:val="1"/>
                <w:color w:val="auto"/>
              </w:rPr>
            </w:pPr>
          </w:p>
        </w:tc>
        <w:tc>
          <w:tcPr>
            <w:tcW w:w="2320" w:type="dxa"/>
            <w:vAlign w:val="bottom"/>
            <w:gridSpan w:val="2"/>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1460" w:type="dxa"/>
            <w:vAlign w:val="bottom"/>
            <w:gridSpan w:val="2"/>
            <w:shd w:val="clear" w:color="auto" w:fill="0563C1"/>
          </w:tcPr>
          <w:p>
            <w:pPr>
              <w:spacing w:after="0" w:line="20" w:lineRule="exact"/>
              <w:rPr>
                <w:sz w:val="1"/>
                <w:szCs w:val="1"/>
                <w:color w:val="auto"/>
              </w:rPr>
            </w:pPr>
          </w:p>
        </w:tc>
        <w:tc>
          <w:tcPr>
            <w:tcW w:w="1600" w:type="dxa"/>
            <w:vAlign w:val="bottom"/>
            <w:shd w:val="clear" w:color="auto" w:fill="0563C1"/>
          </w:tcPr>
          <w:p>
            <w:pPr>
              <w:spacing w:after="0" w:line="20" w:lineRule="exact"/>
              <w:rPr>
                <w:sz w:val="1"/>
                <w:szCs w:val="1"/>
                <w:color w:val="auto"/>
              </w:rPr>
            </w:pPr>
          </w:p>
        </w:tc>
        <w:tc>
          <w:tcPr>
            <w:tcW w:w="5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40" w:type="dxa"/>
            <w:vAlign w:val="bottom"/>
            <w:gridSpan w:val="13"/>
          </w:tcPr>
          <w:p>
            <w:pPr>
              <w:spacing w:after="0" w:line="195" w:lineRule="exact"/>
              <w:rPr>
                <w:rFonts w:ascii="Arial" w:cs="Arial" w:eastAsia="Arial" w:hAnsi="Arial"/>
                <w:sz w:val="18"/>
                <w:szCs w:val="18"/>
                <w:color w:val="0563C1"/>
                <w:w w:val="97"/>
              </w:rPr>
            </w:pPr>
            <w:hyperlink r:id="rId315">
              <w:r>
                <w:rPr>
                  <w:rFonts w:ascii="Arial" w:cs="Arial" w:eastAsia="Arial" w:hAnsi="Arial"/>
                  <w:sz w:val="18"/>
                  <w:szCs w:val="18"/>
                  <w:color w:val="0563C1"/>
                  <w:w w:val="97"/>
                </w:rPr>
                <w:t>Yellow Transportation, Inc. and Roadway Express, Inc.), USF Holland Inc. and New Penn Motor Express, Inc. (incorporated by</w:t>
              </w:r>
            </w:hyperlink>
          </w:p>
        </w:tc>
      </w:tr>
      <w:tr>
        <w:trPr>
          <w:trHeight w:val="20"/>
        </w:trPr>
        <w:tc>
          <w:tcPr>
            <w:tcW w:w="12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60" w:type="dxa"/>
            <w:vAlign w:val="bottom"/>
            <w:shd w:val="clear" w:color="auto" w:fill="0563C1"/>
          </w:tcPr>
          <w:p>
            <w:pPr>
              <w:spacing w:after="0" w:line="20" w:lineRule="exact"/>
              <w:rPr>
                <w:sz w:val="1"/>
                <w:szCs w:val="1"/>
                <w:color w:val="auto"/>
              </w:rPr>
            </w:pPr>
          </w:p>
        </w:tc>
        <w:tc>
          <w:tcPr>
            <w:tcW w:w="2140" w:type="dxa"/>
            <w:vAlign w:val="bottom"/>
            <w:tcBorders>
              <w:right w:val="single" w:sz="8" w:color="0563C1"/>
            </w:tcBorders>
            <w:gridSpan w:val="2"/>
            <w:shd w:val="clear" w:color="auto" w:fill="0563C1"/>
          </w:tcPr>
          <w:p>
            <w:pPr>
              <w:spacing w:after="0" w:line="20" w:lineRule="exact"/>
              <w:rPr>
                <w:sz w:val="1"/>
                <w:szCs w:val="1"/>
                <w:color w:val="auto"/>
              </w:rPr>
            </w:pPr>
          </w:p>
        </w:tc>
        <w:tc>
          <w:tcPr>
            <w:tcW w:w="2320" w:type="dxa"/>
            <w:vAlign w:val="bottom"/>
            <w:gridSpan w:val="2"/>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1460" w:type="dxa"/>
            <w:vAlign w:val="bottom"/>
            <w:gridSpan w:val="2"/>
            <w:shd w:val="clear" w:color="auto" w:fill="0563C1"/>
          </w:tcPr>
          <w:p>
            <w:pPr>
              <w:spacing w:after="0" w:line="20" w:lineRule="exact"/>
              <w:rPr>
                <w:sz w:val="1"/>
                <w:szCs w:val="1"/>
                <w:color w:val="auto"/>
              </w:rPr>
            </w:pPr>
          </w:p>
        </w:tc>
        <w:tc>
          <w:tcPr>
            <w:tcW w:w="1600" w:type="dxa"/>
            <w:vAlign w:val="bottom"/>
            <w:shd w:val="clear" w:color="auto" w:fill="0563C1"/>
          </w:tcPr>
          <w:p>
            <w:pPr>
              <w:spacing w:after="0" w:line="20" w:lineRule="exact"/>
              <w:rPr>
                <w:sz w:val="1"/>
                <w:szCs w:val="1"/>
                <w:color w:val="auto"/>
              </w:rPr>
            </w:pPr>
          </w:p>
        </w:tc>
        <w:tc>
          <w:tcPr>
            <w:tcW w:w="5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40" w:type="dxa"/>
            <w:vAlign w:val="bottom"/>
            <w:gridSpan w:val="13"/>
          </w:tcPr>
          <w:p>
            <w:pPr>
              <w:spacing w:after="0" w:line="195" w:lineRule="exact"/>
              <w:rPr>
                <w:rFonts w:ascii="Arial" w:cs="Arial" w:eastAsia="Arial" w:hAnsi="Arial"/>
                <w:sz w:val="18"/>
                <w:szCs w:val="18"/>
                <w:color w:val="0563C1"/>
              </w:rPr>
            </w:pPr>
            <w:hyperlink r:id="rId315">
              <w:r>
                <w:rPr>
                  <w:rFonts w:ascii="Arial" w:cs="Arial" w:eastAsia="Arial" w:hAnsi="Arial"/>
                  <w:sz w:val="18"/>
                  <w:szCs w:val="18"/>
                  <w:color w:val="0563C1"/>
                </w:rPr>
                <w:t>reference to Exhibit 10.1 to Current Report on Form 8-K, filed on February 11, 2008, File No. 000-12255).</w:t>
              </w:r>
            </w:hyperlink>
          </w:p>
        </w:tc>
      </w:tr>
      <w:tr>
        <w:trPr>
          <w:trHeight w:val="20"/>
        </w:trPr>
        <w:tc>
          <w:tcPr>
            <w:tcW w:w="12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60" w:type="dxa"/>
            <w:vAlign w:val="bottom"/>
            <w:shd w:val="clear" w:color="auto" w:fill="0563C1"/>
          </w:tcPr>
          <w:p>
            <w:pPr>
              <w:spacing w:after="0" w:line="20" w:lineRule="exact"/>
              <w:rPr>
                <w:sz w:val="1"/>
                <w:szCs w:val="1"/>
                <w:color w:val="auto"/>
              </w:rPr>
            </w:pPr>
          </w:p>
        </w:tc>
        <w:tc>
          <w:tcPr>
            <w:tcW w:w="2140" w:type="dxa"/>
            <w:vAlign w:val="bottom"/>
            <w:tcBorders>
              <w:right w:val="single" w:sz="8" w:color="0563C1"/>
            </w:tcBorders>
            <w:gridSpan w:val="2"/>
            <w:shd w:val="clear" w:color="auto" w:fill="0563C1"/>
          </w:tcPr>
          <w:p>
            <w:pPr>
              <w:spacing w:after="0" w:line="20" w:lineRule="exact"/>
              <w:rPr>
                <w:sz w:val="1"/>
                <w:szCs w:val="1"/>
                <w:color w:val="auto"/>
              </w:rPr>
            </w:pPr>
          </w:p>
        </w:tc>
        <w:tc>
          <w:tcPr>
            <w:tcW w:w="2320" w:type="dxa"/>
            <w:vAlign w:val="bottom"/>
            <w:gridSpan w:val="2"/>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1460" w:type="dxa"/>
            <w:vAlign w:val="bottom"/>
            <w:gridSpan w:val="2"/>
            <w:shd w:val="clear" w:color="auto" w:fill="0563C1"/>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5"/>
        </w:trPr>
        <w:tc>
          <w:tcPr>
            <w:tcW w:w="1260" w:type="dxa"/>
            <w:vAlign w:val="bottom"/>
          </w:tcPr>
          <w:p>
            <w:pPr>
              <w:jc w:val="right"/>
              <w:ind w:right="590"/>
              <w:spacing w:after="0"/>
              <w:rPr>
                <w:sz w:val="20"/>
                <w:szCs w:val="20"/>
                <w:color w:val="auto"/>
              </w:rPr>
            </w:pPr>
            <w:r>
              <w:rPr>
                <w:rFonts w:ascii="Arial" w:cs="Arial" w:eastAsia="Arial" w:hAnsi="Arial"/>
                <w:sz w:val="18"/>
                <w:szCs w:val="18"/>
                <w:color w:val="auto"/>
              </w:rPr>
              <w:t>10.1.2</w:t>
            </w:r>
          </w:p>
        </w:tc>
        <w:tc>
          <w:tcPr>
            <w:tcW w:w="140" w:type="dxa"/>
            <w:vAlign w:val="bottom"/>
          </w:tcPr>
          <w:p>
            <w:pPr>
              <w:spacing w:after="0"/>
              <w:rPr>
                <w:sz w:val="24"/>
                <w:szCs w:val="24"/>
                <w:color w:val="auto"/>
              </w:rPr>
            </w:pPr>
          </w:p>
        </w:tc>
        <w:tc>
          <w:tcPr>
            <w:tcW w:w="9840" w:type="dxa"/>
            <w:vAlign w:val="bottom"/>
            <w:gridSpan w:val="13"/>
          </w:tcPr>
          <w:p>
            <w:pPr>
              <w:spacing w:after="0"/>
              <w:rPr>
                <w:rFonts w:ascii="Arial" w:cs="Arial" w:eastAsia="Arial" w:hAnsi="Arial"/>
                <w:sz w:val="18"/>
                <w:szCs w:val="18"/>
                <w:color w:val="0563C1"/>
                <w:w w:val="97"/>
              </w:rPr>
            </w:pPr>
            <w:hyperlink r:id="rId316">
              <w:r>
                <w:rPr>
                  <w:rFonts w:ascii="Arial" w:cs="Arial" w:eastAsia="Arial" w:hAnsi="Arial"/>
                  <w:sz w:val="18"/>
                  <w:szCs w:val="18"/>
                  <w:color w:val="0563C1"/>
                  <w:w w:val="97"/>
                </w:rPr>
                <w:t>Amended and Restated Memorandum of Understanding on the Job Security Plan, dated July 9, 2009, among the International</w:t>
              </w:r>
            </w:hyperlink>
          </w:p>
        </w:tc>
      </w:tr>
      <w:tr>
        <w:trPr>
          <w:trHeight w:val="20"/>
        </w:trPr>
        <w:tc>
          <w:tcPr>
            <w:tcW w:w="12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60" w:type="dxa"/>
            <w:vAlign w:val="bottom"/>
            <w:shd w:val="clear" w:color="auto" w:fill="0563C1"/>
          </w:tcPr>
          <w:p>
            <w:pPr>
              <w:spacing w:after="0" w:line="20" w:lineRule="exact"/>
              <w:rPr>
                <w:sz w:val="1"/>
                <w:szCs w:val="1"/>
                <w:color w:val="auto"/>
              </w:rPr>
            </w:pPr>
          </w:p>
        </w:tc>
        <w:tc>
          <w:tcPr>
            <w:tcW w:w="2140" w:type="dxa"/>
            <w:vAlign w:val="bottom"/>
            <w:tcBorders>
              <w:right w:val="single" w:sz="8" w:color="0563C1"/>
            </w:tcBorders>
            <w:gridSpan w:val="2"/>
            <w:shd w:val="clear" w:color="auto" w:fill="0563C1"/>
          </w:tcPr>
          <w:p>
            <w:pPr>
              <w:spacing w:after="0" w:line="20" w:lineRule="exact"/>
              <w:rPr>
                <w:sz w:val="1"/>
                <w:szCs w:val="1"/>
                <w:color w:val="auto"/>
              </w:rPr>
            </w:pPr>
          </w:p>
        </w:tc>
        <w:tc>
          <w:tcPr>
            <w:tcW w:w="2320" w:type="dxa"/>
            <w:vAlign w:val="bottom"/>
            <w:gridSpan w:val="2"/>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3060" w:type="dxa"/>
            <w:vAlign w:val="bottom"/>
            <w:gridSpan w:val="3"/>
            <w:shd w:val="clear" w:color="auto" w:fill="0563C1"/>
          </w:tcPr>
          <w:p>
            <w:pPr>
              <w:spacing w:after="0" w:line="20" w:lineRule="exact"/>
              <w:rPr>
                <w:sz w:val="1"/>
                <w:szCs w:val="1"/>
                <w:color w:val="auto"/>
              </w:rPr>
            </w:pPr>
          </w:p>
        </w:tc>
        <w:tc>
          <w:tcPr>
            <w:tcW w:w="5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40" w:type="dxa"/>
            <w:vAlign w:val="bottom"/>
            <w:gridSpan w:val="13"/>
          </w:tcPr>
          <w:p>
            <w:pPr>
              <w:spacing w:after="0" w:line="195" w:lineRule="exact"/>
              <w:rPr>
                <w:rFonts w:ascii="Arial" w:cs="Arial" w:eastAsia="Arial" w:hAnsi="Arial"/>
                <w:sz w:val="18"/>
                <w:szCs w:val="18"/>
                <w:color w:val="0563C1"/>
                <w:w w:val="91"/>
              </w:rPr>
            </w:pPr>
            <w:hyperlink r:id="rId316">
              <w:r>
                <w:rPr>
                  <w:rFonts w:ascii="Arial" w:cs="Arial" w:eastAsia="Arial" w:hAnsi="Arial"/>
                  <w:sz w:val="18"/>
                  <w:szCs w:val="18"/>
                  <w:color w:val="0563C1"/>
                  <w:w w:val="91"/>
                </w:rPr>
                <w:t>Brotherhood of Teamsters, YRC Inc., USF Holland Inc. and New Penn Motor Express, Inc. (incorporated by reference to Exhibit 10.1 to</w:t>
              </w:r>
            </w:hyperlink>
          </w:p>
        </w:tc>
      </w:tr>
      <w:tr>
        <w:trPr>
          <w:trHeight w:val="20"/>
        </w:trPr>
        <w:tc>
          <w:tcPr>
            <w:tcW w:w="12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60" w:type="dxa"/>
            <w:vAlign w:val="bottom"/>
            <w:shd w:val="clear" w:color="auto" w:fill="0563C1"/>
          </w:tcPr>
          <w:p>
            <w:pPr>
              <w:spacing w:after="0" w:line="20" w:lineRule="exact"/>
              <w:rPr>
                <w:sz w:val="1"/>
                <w:szCs w:val="1"/>
                <w:color w:val="auto"/>
              </w:rPr>
            </w:pPr>
          </w:p>
        </w:tc>
        <w:tc>
          <w:tcPr>
            <w:tcW w:w="2140" w:type="dxa"/>
            <w:vAlign w:val="bottom"/>
            <w:tcBorders>
              <w:right w:val="single" w:sz="8" w:color="0563C1"/>
            </w:tcBorders>
            <w:gridSpan w:val="2"/>
            <w:shd w:val="clear" w:color="auto" w:fill="0563C1"/>
          </w:tcPr>
          <w:p>
            <w:pPr>
              <w:spacing w:after="0" w:line="20" w:lineRule="exact"/>
              <w:rPr>
                <w:sz w:val="1"/>
                <w:szCs w:val="1"/>
                <w:color w:val="auto"/>
              </w:rPr>
            </w:pPr>
          </w:p>
        </w:tc>
        <w:tc>
          <w:tcPr>
            <w:tcW w:w="2320" w:type="dxa"/>
            <w:vAlign w:val="bottom"/>
            <w:gridSpan w:val="2"/>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3060" w:type="dxa"/>
            <w:vAlign w:val="bottom"/>
            <w:gridSpan w:val="3"/>
            <w:shd w:val="clear" w:color="auto" w:fill="0563C1"/>
          </w:tcPr>
          <w:p>
            <w:pPr>
              <w:spacing w:after="0" w:line="20" w:lineRule="exact"/>
              <w:rPr>
                <w:sz w:val="1"/>
                <w:szCs w:val="1"/>
                <w:color w:val="auto"/>
              </w:rPr>
            </w:pPr>
          </w:p>
        </w:tc>
        <w:tc>
          <w:tcPr>
            <w:tcW w:w="5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40" w:type="dxa"/>
            <w:vAlign w:val="bottom"/>
            <w:gridSpan w:val="13"/>
          </w:tcPr>
          <w:p>
            <w:pPr>
              <w:spacing w:after="0" w:line="195" w:lineRule="exact"/>
              <w:rPr>
                <w:rFonts w:ascii="Arial" w:cs="Arial" w:eastAsia="Arial" w:hAnsi="Arial"/>
                <w:sz w:val="18"/>
                <w:szCs w:val="18"/>
                <w:color w:val="0563C1"/>
              </w:rPr>
            </w:pPr>
            <w:hyperlink r:id="rId316">
              <w:r>
                <w:rPr>
                  <w:rFonts w:ascii="Arial" w:cs="Arial" w:eastAsia="Arial" w:hAnsi="Arial"/>
                  <w:sz w:val="18"/>
                  <w:szCs w:val="18"/>
                  <w:color w:val="0563C1"/>
                </w:rPr>
                <w:t>Current Report on Form 8-K, filed on July 14, 2009, File No. 000-12255).</w:t>
              </w:r>
            </w:hyperlink>
          </w:p>
        </w:tc>
      </w:tr>
      <w:tr>
        <w:trPr>
          <w:trHeight w:val="20"/>
        </w:trPr>
        <w:tc>
          <w:tcPr>
            <w:tcW w:w="12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60" w:type="dxa"/>
            <w:vAlign w:val="bottom"/>
            <w:shd w:val="clear" w:color="auto" w:fill="0563C1"/>
          </w:tcPr>
          <w:p>
            <w:pPr>
              <w:spacing w:after="0" w:line="20" w:lineRule="exact"/>
              <w:rPr>
                <w:sz w:val="1"/>
                <w:szCs w:val="1"/>
                <w:color w:val="auto"/>
              </w:rPr>
            </w:pPr>
          </w:p>
        </w:tc>
        <w:tc>
          <w:tcPr>
            <w:tcW w:w="2140" w:type="dxa"/>
            <w:vAlign w:val="bottom"/>
            <w:tcBorders>
              <w:right w:val="single" w:sz="8" w:color="0563C1"/>
            </w:tcBorders>
            <w:gridSpan w:val="2"/>
            <w:shd w:val="clear" w:color="auto" w:fill="0563C1"/>
          </w:tcPr>
          <w:p>
            <w:pPr>
              <w:spacing w:after="0" w:line="20" w:lineRule="exact"/>
              <w:rPr>
                <w:sz w:val="1"/>
                <w:szCs w:val="1"/>
                <w:color w:val="auto"/>
              </w:rPr>
            </w:pPr>
          </w:p>
        </w:tc>
        <w:tc>
          <w:tcPr>
            <w:tcW w:w="2320" w:type="dxa"/>
            <w:vAlign w:val="bottom"/>
            <w:gridSpan w:val="2"/>
            <w:shd w:val="clear" w:color="auto" w:fill="0563C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6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5"/>
        </w:trPr>
        <w:tc>
          <w:tcPr>
            <w:tcW w:w="1260" w:type="dxa"/>
            <w:vAlign w:val="bottom"/>
          </w:tcPr>
          <w:p>
            <w:pPr>
              <w:jc w:val="right"/>
              <w:ind w:right="610"/>
              <w:spacing w:after="0"/>
              <w:rPr>
                <w:sz w:val="20"/>
                <w:szCs w:val="20"/>
                <w:color w:val="auto"/>
              </w:rPr>
            </w:pPr>
            <w:r>
              <w:rPr>
                <w:rFonts w:ascii="Arial" w:cs="Arial" w:eastAsia="Arial" w:hAnsi="Arial"/>
                <w:sz w:val="18"/>
                <w:szCs w:val="18"/>
                <w:color w:val="auto"/>
              </w:rPr>
              <w:t>10.1.3</w:t>
            </w:r>
          </w:p>
        </w:tc>
        <w:tc>
          <w:tcPr>
            <w:tcW w:w="140" w:type="dxa"/>
            <w:vAlign w:val="bottom"/>
          </w:tcPr>
          <w:p>
            <w:pPr>
              <w:spacing w:after="0"/>
              <w:rPr>
                <w:sz w:val="24"/>
                <w:szCs w:val="24"/>
                <w:color w:val="auto"/>
              </w:rPr>
            </w:pPr>
          </w:p>
        </w:tc>
        <w:tc>
          <w:tcPr>
            <w:tcW w:w="9840" w:type="dxa"/>
            <w:vAlign w:val="bottom"/>
            <w:gridSpan w:val="13"/>
          </w:tcPr>
          <w:p>
            <w:pPr>
              <w:spacing w:after="0"/>
              <w:rPr>
                <w:rFonts w:ascii="Arial" w:cs="Arial" w:eastAsia="Arial" w:hAnsi="Arial"/>
                <w:sz w:val="18"/>
                <w:szCs w:val="18"/>
                <w:color w:val="0563C1"/>
                <w:w w:val="91"/>
              </w:rPr>
            </w:pPr>
            <w:hyperlink r:id="rId317">
              <w:r>
                <w:rPr>
                  <w:rFonts w:ascii="Arial" w:cs="Arial" w:eastAsia="Arial" w:hAnsi="Arial"/>
                  <w:sz w:val="18"/>
                  <w:szCs w:val="18"/>
                  <w:color w:val="0563C1"/>
                  <w:w w:val="91"/>
                </w:rPr>
                <w:t>Agreement for the Restructuring of the YRC Worldwide Inc. Operating Companies and related Term Sheet/Proposal (the “Restructuring</w:t>
              </w:r>
            </w:hyperlink>
          </w:p>
        </w:tc>
      </w:tr>
      <w:tr>
        <w:trPr>
          <w:trHeight w:val="20"/>
        </w:trPr>
        <w:tc>
          <w:tcPr>
            <w:tcW w:w="12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60" w:type="dxa"/>
            <w:vAlign w:val="bottom"/>
            <w:shd w:val="clear" w:color="auto" w:fill="0563C1"/>
          </w:tcPr>
          <w:p>
            <w:pPr>
              <w:spacing w:after="0" w:line="20" w:lineRule="exact"/>
              <w:rPr>
                <w:sz w:val="1"/>
                <w:szCs w:val="1"/>
                <w:color w:val="auto"/>
              </w:rPr>
            </w:pPr>
          </w:p>
        </w:tc>
        <w:tc>
          <w:tcPr>
            <w:tcW w:w="2140" w:type="dxa"/>
            <w:vAlign w:val="bottom"/>
            <w:tcBorders>
              <w:right w:val="single" w:sz="8" w:color="0563C1"/>
            </w:tcBorders>
            <w:gridSpan w:val="2"/>
            <w:shd w:val="clear" w:color="auto" w:fill="0563C1"/>
          </w:tcPr>
          <w:p>
            <w:pPr>
              <w:spacing w:after="0" w:line="20" w:lineRule="exact"/>
              <w:rPr>
                <w:sz w:val="1"/>
                <w:szCs w:val="1"/>
                <w:color w:val="auto"/>
              </w:rPr>
            </w:pPr>
          </w:p>
        </w:tc>
        <w:tc>
          <w:tcPr>
            <w:tcW w:w="2460" w:type="dxa"/>
            <w:vAlign w:val="bottom"/>
            <w:gridSpan w:val="3"/>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3060" w:type="dxa"/>
            <w:vAlign w:val="bottom"/>
            <w:gridSpan w:val="3"/>
            <w:shd w:val="clear" w:color="auto" w:fill="0563C1"/>
          </w:tcPr>
          <w:p>
            <w:pPr>
              <w:spacing w:after="0" w:line="20" w:lineRule="exact"/>
              <w:rPr>
                <w:sz w:val="1"/>
                <w:szCs w:val="1"/>
                <w:color w:val="auto"/>
              </w:rPr>
            </w:pPr>
          </w:p>
        </w:tc>
        <w:tc>
          <w:tcPr>
            <w:tcW w:w="5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40" w:type="dxa"/>
            <w:vAlign w:val="bottom"/>
            <w:gridSpan w:val="13"/>
          </w:tcPr>
          <w:p>
            <w:pPr>
              <w:spacing w:after="0" w:line="195" w:lineRule="exact"/>
              <w:rPr>
                <w:rFonts w:ascii="Arial" w:cs="Arial" w:eastAsia="Arial" w:hAnsi="Arial"/>
                <w:sz w:val="18"/>
                <w:szCs w:val="18"/>
                <w:color w:val="0563C1"/>
                <w:w w:val="94"/>
              </w:rPr>
            </w:pPr>
            <w:hyperlink r:id="rId317">
              <w:r>
                <w:rPr>
                  <w:rFonts w:ascii="Arial" w:cs="Arial" w:eastAsia="Arial" w:hAnsi="Arial"/>
                  <w:sz w:val="18"/>
                  <w:szCs w:val="18"/>
                  <w:color w:val="0563C1"/>
                  <w:w w:val="94"/>
                </w:rPr>
                <w:t>Plan”), dated September 24, 2010, among the International Brotherhood of Teamsters, YRC Inc., USF Holland Inc. and New Penn</w:t>
              </w:r>
            </w:hyperlink>
          </w:p>
        </w:tc>
      </w:tr>
      <w:tr>
        <w:trPr>
          <w:trHeight w:val="20"/>
        </w:trPr>
        <w:tc>
          <w:tcPr>
            <w:tcW w:w="12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60" w:type="dxa"/>
            <w:vAlign w:val="bottom"/>
            <w:shd w:val="clear" w:color="auto" w:fill="0563C1"/>
          </w:tcPr>
          <w:p>
            <w:pPr>
              <w:spacing w:after="0" w:line="20" w:lineRule="exact"/>
              <w:rPr>
                <w:sz w:val="1"/>
                <w:szCs w:val="1"/>
                <w:color w:val="auto"/>
              </w:rPr>
            </w:pPr>
          </w:p>
        </w:tc>
        <w:tc>
          <w:tcPr>
            <w:tcW w:w="2140" w:type="dxa"/>
            <w:vAlign w:val="bottom"/>
            <w:tcBorders>
              <w:right w:val="single" w:sz="8" w:color="0563C1"/>
            </w:tcBorders>
            <w:gridSpan w:val="2"/>
            <w:shd w:val="clear" w:color="auto" w:fill="0563C1"/>
          </w:tcPr>
          <w:p>
            <w:pPr>
              <w:spacing w:after="0" w:line="20" w:lineRule="exact"/>
              <w:rPr>
                <w:sz w:val="1"/>
                <w:szCs w:val="1"/>
                <w:color w:val="auto"/>
              </w:rPr>
            </w:pPr>
          </w:p>
        </w:tc>
        <w:tc>
          <w:tcPr>
            <w:tcW w:w="2460" w:type="dxa"/>
            <w:vAlign w:val="bottom"/>
            <w:gridSpan w:val="3"/>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3060" w:type="dxa"/>
            <w:vAlign w:val="bottom"/>
            <w:gridSpan w:val="3"/>
            <w:shd w:val="clear" w:color="auto" w:fill="0563C1"/>
          </w:tcPr>
          <w:p>
            <w:pPr>
              <w:spacing w:after="0" w:line="20" w:lineRule="exact"/>
              <w:rPr>
                <w:sz w:val="1"/>
                <w:szCs w:val="1"/>
                <w:color w:val="auto"/>
              </w:rPr>
            </w:pPr>
          </w:p>
        </w:tc>
        <w:tc>
          <w:tcPr>
            <w:tcW w:w="5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40" w:type="dxa"/>
            <w:vAlign w:val="bottom"/>
            <w:gridSpan w:val="13"/>
          </w:tcPr>
          <w:p>
            <w:pPr>
              <w:spacing w:after="0" w:line="195" w:lineRule="exact"/>
              <w:rPr>
                <w:rFonts w:ascii="Arial" w:cs="Arial" w:eastAsia="Arial" w:hAnsi="Arial"/>
                <w:sz w:val="18"/>
                <w:szCs w:val="18"/>
                <w:color w:val="0563C1"/>
                <w:w w:val="93"/>
              </w:rPr>
            </w:pPr>
            <w:hyperlink r:id="rId317">
              <w:r>
                <w:rPr>
                  <w:rFonts w:ascii="Arial" w:cs="Arial" w:eastAsia="Arial" w:hAnsi="Arial"/>
                  <w:sz w:val="18"/>
                  <w:szCs w:val="18"/>
                  <w:color w:val="0563C1"/>
                  <w:w w:val="93"/>
                </w:rPr>
                <w:t>Motor Express, Inc. (incorporated by reference to Exhibit 10.1 to Current Report on Form 8-K, filed on September 29, 2010, File No.</w:t>
              </w:r>
            </w:hyperlink>
          </w:p>
        </w:tc>
      </w:tr>
      <w:tr>
        <w:trPr>
          <w:trHeight w:val="20"/>
        </w:trPr>
        <w:tc>
          <w:tcPr>
            <w:tcW w:w="12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60" w:type="dxa"/>
            <w:vAlign w:val="bottom"/>
            <w:shd w:val="clear" w:color="auto" w:fill="0563C1"/>
          </w:tcPr>
          <w:p>
            <w:pPr>
              <w:spacing w:after="0" w:line="20" w:lineRule="exact"/>
              <w:rPr>
                <w:sz w:val="1"/>
                <w:szCs w:val="1"/>
                <w:color w:val="auto"/>
              </w:rPr>
            </w:pPr>
          </w:p>
        </w:tc>
        <w:tc>
          <w:tcPr>
            <w:tcW w:w="1200" w:type="dxa"/>
            <w:vAlign w:val="bottom"/>
            <w:shd w:val="clear" w:color="auto" w:fill="0563C1"/>
          </w:tcPr>
          <w:p>
            <w:pPr>
              <w:spacing w:after="0" w:line="20" w:lineRule="exact"/>
              <w:rPr>
                <w:sz w:val="1"/>
                <w:szCs w:val="1"/>
                <w:color w:val="auto"/>
              </w:rPr>
            </w:pPr>
          </w:p>
        </w:tc>
        <w:tc>
          <w:tcPr>
            <w:tcW w:w="940" w:type="dxa"/>
            <w:vAlign w:val="bottom"/>
            <w:tcBorders>
              <w:right w:val="single" w:sz="8" w:color="0563C1"/>
            </w:tcBorders>
            <w:shd w:val="clear" w:color="auto" w:fill="0563C1"/>
          </w:tcPr>
          <w:p>
            <w:pPr>
              <w:spacing w:after="0" w:line="20" w:lineRule="exact"/>
              <w:rPr>
                <w:sz w:val="1"/>
                <w:szCs w:val="1"/>
                <w:color w:val="auto"/>
              </w:rPr>
            </w:pPr>
          </w:p>
        </w:tc>
        <w:tc>
          <w:tcPr>
            <w:tcW w:w="1240" w:type="dxa"/>
            <w:vAlign w:val="bottom"/>
            <w:shd w:val="clear" w:color="auto" w:fill="0563C1"/>
          </w:tcPr>
          <w:p>
            <w:pPr>
              <w:spacing w:after="0" w:line="20" w:lineRule="exact"/>
              <w:rPr>
                <w:sz w:val="1"/>
                <w:szCs w:val="1"/>
                <w:color w:val="auto"/>
              </w:rPr>
            </w:pPr>
          </w:p>
        </w:tc>
        <w:tc>
          <w:tcPr>
            <w:tcW w:w="108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138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600" w:type="dxa"/>
            <w:vAlign w:val="bottom"/>
            <w:shd w:val="clear" w:color="auto" w:fill="0563C1"/>
          </w:tcPr>
          <w:p>
            <w:pPr>
              <w:spacing w:after="0" w:line="20" w:lineRule="exact"/>
              <w:rPr>
                <w:sz w:val="1"/>
                <w:szCs w:val="1"/>
                <w:color w:val="auto"/>
              </w:rPr>
            </w:pPr>
          </w:p>
        </w:tc>
        <w:tc>
          <w:tcPr>
            <w:tcW w:w="5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line="195" w:lineRule="exact"/>
              <w:rPr>
                <w:rFonts w:ascii="Arial" w:cs="Arial" w:eastAsia="Arial" w:hAnsi="Arial"/>
                <w:sz w:val="18"/>
                <w:szCs w:val="18"/>
                <w:color w:val="0563C1"/>
                <w:w w:val="86"/>
              </w:rPr>
            </w:pPr>
            <w:hyperlink r:id="rId317">
              <w:r>
                <w:rPr>
                  <w:rFonts w:ascii="Arial" w:cs="Arial" w:eastAsia="Arial" w:hAnsi="Arial"/>
                  <w:sz w:val="18"/>
                  <w:szCs w:val="18"/>
                  <w:color w:val="0563C1"/>
                  <w:w w:val="86"/>
                </w:rPr>
                <w:t>000-12255).</w:t>
              </w:r>
            </w:hyperlink>
          </w:p>
        </w:tc>
        <w:tc>
          <w:tcPr>
            <w:tcW w:w="1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60" w:type="dxa"/>
            <w:vAlign w:val="bottom"/>
            <w:shd w:val="clear" w:color="auto" w:fill="0563C1"/>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6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5"/>
        </w:trPr>
        <w:tc>
          <w:tcPr>
            <w:tcW w:w="1260" w:type="dxa"/>
            <w:vAlign w:val="bottom"/>
          </w:tcPr>
          <w:p>
            <w:pPr>
              <w:jc w:val="right"/>
              <w:ind w:right="610"/>
              <w:spacing w:after="0"/>
              <w:rPr>
                <w:sz w:val="20"/>
                <w:szCs w:val="20"/>
                <w:color w:val="auto"/>
              </w:rPr>
            </w:pPr>
            <w:r>
              <w:rPr>
                <w:rFonts w:ascii="Arial" w:cs="Arial" w:eastAsia="Arial" w:hAnsi="Arial"/>
                <w:sz w:val="18"/>
                <w:szCs w:val="18"/>
                <w:color w:val="auto"/>
              </w:rPr>
              <w:t>10.1.4</w:t>
            </w:r>
          </w:p>
        </w:tc>
        <w:tc>
          <w:tcPr>
            <w:tcW w:w="140" w:type="dxa"/>
            <w:vAlign w:val="bottom"/>
          </w:tcPr>
          <w:p>
            <w:pPr>
              <w:spacing w:after="0"/>
              <w:rPr>
                <w:sz w:val="24"/>
                <w:szCs w:val="24"/>
                <w:color w:val="auto"/>
              </w:rPr>
            </w:pPr>
          </w:p>
        </w:tc>
        <w:tc>
          <w:tcPr>
            <w:tcW w:w="9840" w:type="dxa"/>
            <w:vAlign w:val="bottom"/>
            <w:gridSpan w:val="13"/>
          </w:tcPr>
          <w:p>
            <w:pPr>
              <w:spacing w:after="0"/>
              <w:rPr>
                <w:rFonts w:ascii="Arial" w:cs="Arial" w:eastAsia="Arial" w:hAnsi="Arial"/>
                <w:sz w:val="18"/>
                <w:szCs w:val="18"/>
                <w:color w:val="0563C1"/>
                <w:w w:val="92"/>
              </w:rPr>
            </w:pPr>
            <w:hyperlink r:id="rId318">
              <w:r>
                <w:rPr>
                  <w:rFonts w:ascii="Arial" w:cs="Arial" w:eastAsia="Arial" w:hAnsi="Arial"/>
                  <w:sz w:val="18"/>
                  <w:szCs w:val="18"/>
                  <w:color w:val="0563C1"/>
                  <w:w w:val="92"/>
                </w:rPr>
                <w:t>Certification and Amendment (dated December 31, 2010) and Certification and Second Amendment (dated February 28, 2011) to the</w:t>
              </w:r>
            </w:hyperlink>
          </w:p>
        </w:tc>
      </w:tr>
      <w:tr>
        <w:trPr>
          <w:trHeight w:val="20"/>
        </w:trPr>
        <w:tc>
          <w:tcPr>
            <w:tcW w:w="12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000" w:type="dxa"/>
            <w:vAlign w:val="bottom"/>
            <w:tcBorders>
              <w:right w:val="single" w:sz="8" w:color="0563C1"/>
            </w:tcBorders>
            <w:gridSpan w:val="3"/>
            <w:shd w:val="clear" w:color="auto" w:fill="0563C1"/>
          </w:tcPr>
          <w:p>
            <w:pPr>
              <w:spacing w:after="0" w:line="20" w:lineRule="exact"/>
              <w:rPr>
                <w:sz w:val="1"/>
                <w:szCs w:val="1"/>
                <w:color w:val="auto"/>
              </w:rPr>
            </w:pPr>
          </w:p>
        </w:tc>
        <w:tc>
          <w:tcPr>
            <w:tcW w:w="2460" w:type="dxa"/>
            <w:vAlign w:val="bottom"/>
            <w:gridSpan w:val="3"/>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3060" w:type="dxa"/>
            <w:vAlign w:val="bottom"/>
            <w:gridSpan w:val="3"/>
            <w:shd w:val="clear" w:color="auto" w:fill="0563C1"/>
          </w:tcPr>
          <w:p>
            <w:pPr>
              <w:spacing w:after="0" w:line="20" w:lineRule="exact"/>
              <w:rPr>
                <w:sz w:val="1"/>
                <w:szCs w:val="1"/>
                <w:color w:val="auto"/>
              </w:rPr>
            </w:pPr>
          </w:p>
        </w:tc>
        <w:tc>
          <w:tcPr>
            <w:tcW w:w="5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40" w:type="dxa"/>
            <w:vAlign w:val="bottom"/>
            <w:gridSpan w:val="13"/>
          </w:tcPr>
          <w:p>
            <w:pPr>
              <w:spacing w:after="0" w:line="195" w:lineRule="exact"/>
              <w:rPr>
                <w:rFonts w:ascii="Arial" w:cs="Arial" w:eastAsia="Arial" w:hAnsi="Arial"/>
                <w:sz w:val="18"/>
                <w:szCs w:val="18"/>
                <w:color w:val="0563C1"/>
                <w:w w:val="97"/>
              </w:rPr>
            </w:pPr>
            <w:hyperlink r:id="rId318">
              <w:r>
                <w:rPr>
                  <w:rFonts w:ascii="Arial" w:cs="Arial" w:eastAsia="Arial" w:hAnsi="Arial"/>
                  <w:sz w:val="18"/>
                  <w:szCs w:val="18"/>
                  <w:color w:val="0563C1"/>
                  <w:w w:val="97"/>
                </w:rPr>
                <w:t>Restructuring Plan Term Sheet (incorporated by reference to Exhibit 10.3.4 to Annual Report on Form 10-K for the year ended</w:t>
              </w:r>
            </w:hyperlink>
          </w:p>
        </w:tc>
      </w:tr>
      <w:tr>
        <w:trPr>
          <w:trHeight w:val="20"/>
        </w:trPr>
        <w:tc>
          <w:tcPr>
            <w:tcW w:w="12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000" w:type="dxa"/>
            <w:vAlign w:val="bottom"/>
            <w:tcBorders>
              <w:right w:val="single" w:sz="8" w:color="0563C1"/>
            </w:tcBorders>
            <w:gridSpan w:val="3"/>
            <w:shd w:val="clear" w:color="auto" w:fill="0563C1"/>
          </w:tcPr>
          <w:p>
            <w:pPr>
              <w:spacing w:after="0" w:line="20" w:lineRule="exact"/>
              <w:rPr>
                <w:sz w:val="1"/>
                <w:szCs w:val="1"/>
                <w:color w:val="auto"/>
              </w:rPr>
            </w:pPr>
          </w:p>
        </w:tc>
        <w:tc>
          <w:tcPr>
            <w:tcW w:w="2460" w:type="dxa"/>
            <w:vAlign w:val="bottom"/>
            <w:gridSpan w:val="3"/>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3060" w:type="dxa"/>
            <w:vAlign w:val="bottom"/>
            <w:gridSpan w:val="3"/>
            <w:shd w:val="clear" w:color="auto" w:fill="0563C1"/>
          </w:tcPr>
          <w:p>
            <w:pPr>
              <w:spacing w:after="0" w:line="20" w:lineRule="exact"/>
              <w:rPr>
                <w:sz w:val="1"/>
                <w:szCs w:val="1"/>
                <w:color w:val="auto"/>
              </w:rPr>
            </w:pPr>
          </w:p>
        </w:tc>
        <w:tc>
          <w:tcPr>
            <w:tcW w:w="5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40" w:type="dxa"/>
            <w:vAlign w:val="bottom"/>
            <w:gridSpan w:val="13"/>
          </w:tcPr>
          <w:p>
            <w:pPr>
              <w:spacing w:after="0" w:line="195" w:lineRule="exact"/>
              <w:rPr>
                <w:rFonts w:ascii="Arial" w:cs="Arial" w:eastAsia="Arial" w:hAnsi="Arial"/>
                <w:sz w:val="18"/>
                <w:szCs w:val="18"/>
                <w:color w:val="0563C1"/>
              </w:rPr>
            </w:pPr>
            <w:hyperlink r:id="rId318">
              <w:r>
                <w:rPr>
                  <w:rFonts w:ascii="Arial" w:cs="Arial" w:eastAsia="Arial" w:hAnsi="Arial"/>
                  <w:sz w:val="18"/>
                  <w:szCs w:val="18"/>
                  <w:color w:val="0563C1"/>
                </w:rPr>
                <w:t>December 31, 2010, File No. 000-12255).</w:t>
              </w:r>
            </w:hyperlink>
          </w:p>
        </w:tc>
      </w:tr>
      <w:tr>
        <w:trPr>
          <w:trHeight w:val="20"/>
        </w:trPr>
        <w:tc>
          <w:tcPr>
            <w:tcW w:w="12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000" w:type="dxa"/>
            <w:vAlign w:val="bottom"/>
            <w:tcBorders>
              <w:right w:val="single" w:sz="8" w:color="0563C1"/>
            </w:tcBorders>
            <w:gridSpan w:val="3"/>
            <w:shd w:val="clear" w:color="auto" w:fill="0563C1"/>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6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5"/>
        </w:trPr>
        <w:tc>
          <w:tcPr>
            <w:tcW w:w="1260" w:type="dxa"/>
            <w:vAlign w:val="bottom"/>
          </w:tcPr>
          <w:p>
            <w:pPr>
              <w:jc w:val="right"/>
              <w:ind w:right="610"/>
              <w:spacing w:after="0"/>
              <w:rPr>
                <w:sz w:val="20"/>
                <w:szCs w:val="20"/>
                <w:color w:val="auto"/>
              </w:rPr>
            </w:pPr>
            <w:r>
              <w:rPr>
                <w:rFonts w:ascii="Arial" w:cs="Arial" w:eastAsia="Arial" w:hAnsi="Arial"/>
                <w:sz w:val="18"/>
                <w:szCs w:val="18"/>
                <w:color w:val="auto"/>
              </w:rPr>
              <w:t>10.1.5</w:t>
            </w:r>
          </w:p>
        </w:tc>
        <w:tc>
          <w:tcPr>
            <w:tcW w:w="140" w:type="dxa"/>
            <w:vAlign w:val="bottom"/>
          </w:tcPr>
          <w:p>
            <w:pPr>
              <w:spacing w:after="0"/>
              <w:rPr>
                <w:sz w:val="24"/>
                <w:szCs w:val="24"/>
                <w:color w:val="auto"/>
              </w:rPr>
            </w:pPr>
          </w:p>
        </w:tc>
        <w:tc>
          <w:tcPr>
            <w:tcW w:w="9840" w:type="dxa"/>
            <w:vAlign w:val="bottom"/>
            <w:gridSpan w:val="13"/>
          </w:tcPr>
          <w:p>
            <w:pPr>
              <w:spacing w:after="0"/>
              <w:rPr>
                <w:rFonts w:ascii="Arial" w:cs="Arial" w:eastAsia="Arial" w:hAnsi="Arial"/>
                <w:sz w:val="18"/>
                <w:szCs w:val="18"/>
                <w:color w:val="0563C1"/>
                <w:w w:val="93"/>
              </w:rPr>
            </w:pPr>
            <w:hyperlink r:id="rId319">
              <w:r>
                <w:rPr>
                  <w:rFonts w:ascii="Arial" w:cs="Arial" w:eastAsia="Arial" w:hAnsi="Arial"/>
                  <w:sz w:val="18"/>
                  <w:szCs w:val="18"/>
                  <w:color w:val="0563C1"/>
                  <w:w w:val="93"/>
                </w:rPr>
                <w:t>Extension of the Agreement for the Restructuring of the YRC Worldwide Inc. Operating Companies, dated February 7, 2014, by and</w:t>
              </w:r>
            </w:hyperlink>
          </w:p>
        </w:tc>
      </w:tr>
      <w:tr>
        <w:trPr>
          <w:trHeight w:val="20"/>
        </w:trPr>
        <w:tc>
          <w:tcPr>
            <w:tcW w:w="12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460" w:type="dxa"/>
            <w:vAlign w:val="bottom"/>
            <w:gridSpan w:val="6"/>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3060" w:type="dxa"/>
            <w:vAlign w:val="bottom"/>
            <w:gridSpan w:val="3"/>
            <w:shd w:val="clear" w:color="auto" w:fill="0563C1"/>
          </w:tcPr>
          <w:p>
            <w:pPr>
              <w:spacing w:after="0" w:line="20" w:lineRule="exact"/>
              <w:rPr>
                <w:sz w:val="1"/>
                <w:szCs w:val="1"/>
                <w:color w:val="auto"/>
              </w:rPr>
            </w:pPr>
          </w:p>
        </w:tc>
        <w:tc>
          <w:tcPr>
            <w:tcW w:w="5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40" w:type="dxa"/>
            <w:vAlign w:val="bottom"/>
            <w:gridSpan w:val="13"/>
          </w:tcPr>
          <w:p>
            <w:pPr>
              <w:spacing w:after="0" w:line="195" w:lineRule="exact"/>
              <w:rPr>
                <w:rFonts w:ascii="Arial" w:cs="Arial" w:eastAsia="Arial" w:hAnsi="Arial"/>
                <w:sz w:val="18"/>
                <w:szCs w:val="18"/>
                <w:color w:val="0563C1"/>
                <w:w w:val="96"/>
              </w:rPr>
            </w:pPr>
            <w:hyperlink r:id="rId319">
              <w:r>
                <w:rPr>
                  <w:rFonts w:ascii="Arial" w:cs="Arial" w:eastAsia="Arial" w:hAnsi="Arial"/>
                  <w:sz w:val="18"/>
                  <w:szCs w:val="18"/>
                  <w:color w:val="0563C1"/>
                  <w:w w:val="96"/>
                </w:rPr>
                <w:t>among YRC Inc. (d/b/a YRC Freight), USF Holland Inc., New Penn Motor Express, Inc., USF Reddaway Inc. and the Teamsters</w:t>
              </w:r>
            </w:hyperlink>
          </w:p>
        </w:tc>
      </w:tr>
      <w:tr>
        <w:trPr>
          <w:trHeight w:val="20"/>
        </w:trPr>
        <w:tc>
          <w:tcPr>
            <w:tcW w:w="12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460" w:type="dxa"/>
            <w:vAlign w:val="bottom"/>
            <w:gridSpan w:val="6"/>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3060" w:type="dxa"/>
            <w:vAlign w:val="bottom"/>
            <w:gridSpan w:val="3"/>
            <w:shd w:val="clear" w:color="auto" w:fill="0563C1"/>
          </w:tcPr>
          <w:p>
            <w:pPr>
              <w:spacing w:after="0" w:line="20" w:lineRule="exact"/>
              <w:rPr>
                <w:sz w:val="1"/>
                <w:szCs w:val="1"/>
                <w:color w:val="auto"/>
              </w:rPr>
            </w:pPr>
          </w:p>
        </w:tc>
        <w:tc>
          <w:tcPr>
            <w:tcW w:w="5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40" w:type="dxa"/>
            <w:vAlign w:val="bottom"/>
            <w:gridSpan w:val="13"/>
          </w:tcPr>
          <w:p>
            <w:pPr>
              <w:spacing w:after="0" w:line="195" w:lineRule="exact"/>
              <w:rPr>
                <w:rFonts w:ascii="Arial" w:cs="Arial" w:eastAsia="Arial" w:hAnsi="Arial"/>
                <w:sz w:val="18"/>
                <w:szCs w:val="18"/>
                <w:color w:val="0563C1"/>
                <w:w w:val="93"/>
              </w:rPr>
            </w:pPr>
            <w:hyperlink r:id="rId319">
              <w:r>
                <w:rPr>
                  <w:rFonts w:ascii="Arial" w:cs="Arial" w:eastAsia="Arial" w:hAnsi="Arial"/>
                  <w:sz w:val="18"/>
                  <w:szCs w:val="18"/>
                  <w:color w:val="0563C1"/>
                  <w:w w:val="93"/>
                </w:rPr>
                <w:t>National Freight Industry Negotiating Committee of the International Brotherhood of Teamsters (incorporated by reference to Exhibit</w:t>
              </w:r>
            </w:hyperlink>
          </w:p>
        </w:tc>
      </w:tr>
      <w:tr>
        <w:trPr>
          <w:trHeight w:val="20"/>
        </w:trPr>
        <w:tc>
          <w:tcPr>
            <w:tcW w:w="12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460" w:type="dxa"/>
            <w:vAlign w:val="bottom"/>
            <w:gridSpan w:val="6"/>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3060" w:type="dxa"/>
            <w:vAlign w:val="bottom"/>
            <w:gridSpan w:val="3"/>
            <w:shd w:val="clear" w:color="auto" w:fill="0563C1"/>
          </w:tcPr>
          <w:p>
            <w:pPr>
              <w:spacing w:after="0" w:line="20" w:lineRule="exact"/>
              <w:rPr>
                <w:sz w:val="1"/>
                <w:szCs w:val="1"/>
                <w:color w:val="auto"/>
              </w:rPr>
            </w:pPr>
          </w:p>
        </w:tc>
        <w:tc>
          <w:tcPr>
            <w:tcW w:w="540" w:type="dxa"/>
            <w:vAlign w:val="bottom"/>
            <w:shd w:val="clear" w:color="auto" w:fill="0563C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40" w:type="dxa"/>
            <w:vAlign w:val="bottom"/>
            <w:gridSpan w:val="13"/>
          </w:tcPr>
          <w:p>
            <w:pPr>
              <w:spacing w:after="0" w:line="195" w:lineRule="exact"/>
              <w:rPr>
                <w:rFonts w:ascii="Arial" w:cs="Arial" w:eastAsia="Arial" w:hAnsi="Arial"/>
                <w:sz w:val="18"/>
                <w:szCs w:val="18"/>
                <w:color w:val="0563C1"/>
              </w:rPr>
            </w:pPr>
            <w:hyperlink r:id="rId319">
              <w:r>
                <w:rPr>
                  <w:rFonts w:ascii="Arial" w:cs="Arial" w:eastAsia="Arial" w:hAnsi="Arial"/>
                  <w:sz w:val="18"/>
                  <w:szCs w:val="18"/>
                  <w:color w:val="0563C1"/>
                </w:rPr>
                <w:t>10.</w:t>
              </w:r>
              <w:r>
                <w:rPr>
                  <w:rFonts w:ascii="Arial" w:cs="Arial" w:eastAsia="Arial" w:hAnsi="Arial"/>
                  <w:sz w:val="18"/>
                  <w:szCs w:val="18"/>
                  <w:u w:val="single" w:color="auto"/>
                  <w:color w:val="0563C1"/>
                </w:rPr>
                <w:t>1</w:t>
              </w:r>
              <w:r>
                <w:rPr>
                  <w:rFonts w:ascii="Arial" w:cs="Arial" w:eastAsia="Arial" w:hAnsi="Arial"/>
                  <w:sz w:val="18"/>
                  <w:szCs w:val="18"/>
                  <w:color w:val="0563C1"/>
                </w:rPr>
                <w:t xml:space="preserve"> to Current Report on Form 8-K, filed on February 10, 2014, File No. 000-12255).</w:t>
              </w:r>
            </w:hyperlink>
          </w:p>
        </w:tc>
      </w:tr>
      <w:tr>
        <w:trPr>
          <w:trHeight w:val="20"/>
        </w:trPr>
        <w:tc>
          <w:tcPr>
            <w:tcW w:w="12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460" w:type="dxa"/>
            <w:vAlign w:val="bottom"/>
            <w:gridSpan w:val="6"/>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306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r>
      <w:tr>
        <w:trPr>
          <w:trHeight w:val="371"/>
        </w:trPr>
        <w:tc>
          <w:tcPr>
            <w:tcW w:w="1260" w:type="dxa"/>
            <w:vAlign w:val="bottom"/>
          </w:tcPr>
          <w:p>
            <w:pPr>
              <w:jc w:val="right"/>
              <w:ind w:right="610"/>
              <w:spacing w:after="0"/>
              <w:rPr>
                <w:sz w:val="20"/>
                <w:szCs w:val="20"/>
                <w:color w:val="auto"/>
              </w:rPr>
            </w:pPr>
            <w:r>
              <w:rPr>
                <w:rFonts w:ascii="Arial" w:cs="Arial" w:eastAsia="Arial" w:hAnsi="Arial"/>
                <w:sz w:val="18"/>
                <w:szCs w:val="18"/>
                <w:color w:val="auto"/>
              </w:rPr>
              <w:t>10.1.6</w:t>
            </w:r>
          </w:p>
        </w:tc>
        <w:tc>
          <w:tcPr>
            <w:tcW w:w="140" w:type="dxa"/>
            <w:vAlign w:val="bottom"/>
          </w:tcPr>
          <w:p>
            <w:pPr>
              <w:spacing w:after="0"/>
              <w:rPr>
                <w:sz w:val="24"/>
                <w:szCs w:val="24"/>
                <w:color w:val="auto"/>
              </w:rPr>
            </w:pPr>
          </w:p>
        </w:tc>
        <w:tc>
          <w:tcPr>
            <w:tcW w:w="9840" w:type="dxa"/>
            <w:vAlign w:val="bottom"/>
            <w:gridSpan w:val="13"/>
          </w:tcPr>
          <w:p>
            <w:pPr>
              <w:spacing w:after="0"/>
              <w:rPr>
                <w:rFonts w:ascii="Arial" w:cs="Arial" w:eastAsia="Arial" w:hAnsi="Arial"/>
                <w:sz w:val="18"/>
                <w:szCs w:val="18"/>
                <w:color w:val="0563C1"/>
                <w:w w:val="96"/>
              </w:rPr>
            </w:pPr>
            <w:hyperlink r:id="rId320">
              <w:r>
                <w:rPr>
                  <w:rFonts w:ascii="Arial" w:cs="Arial" w:eastAsia="Arial" w:hAnsi="Arial"/>
                  <w:sz w:val="18"/>
                  <w:szCs w:val="18"/>
                  <w:color w:val="0563C1"/>
                  <w:w w:val="96"/>
                </w:rPr>
                <w:t>National Master Freight Agreement, effective May 14, 2019, among the International Brotherhood of Teamsters, YRC Inc., USF</w:t>
              </w:r>
            </w:hyperlink>
          </w:p>
        </w:tc>
      </w:tr>
      <w:tr>
        <w:trPr>
          <w:trHeight w:val="20"/>
        </w:trPr>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60" w:type="dxa"/>
            <w:vAlign w:val="bottom"/>
            <w:gridSpan w:val="6"/>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3380" w:type="dxa"/>
            <w:vAlign w:val="bottom"/>
            <w:gridSpan w:val="4"/>
            <w:shd w:val="clear" w:color="auto" w:fill="0563C1"/>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40" w:type="dxa"/>
            <w:vAlign w:val="bottom"/>
            <w:gridSpan w:val="13"/>
          </w:tcPr>
          <w:p>
            <w:pPr>
              <w:spacing w:after="0" w:line="195" w:lineRule="exact"/>
              <w:rPr>
                <w:rFonts w:ascii="Arial" w:cs="Arial" w:eastAsia="Arial" w:hAnsi="Arial"/>
                <w:sz w:val="18"/>
                <w:szCs w:val="18"/>
                <w:color w:val="0563C1"/>
              </w:rPr>
            </w:pPr>
            <w:hyperlink r:id="rId320">
              <w:r>
                <w:rPr>
                  <w:rFonts w:ascii="Arial" w:cs="Arial" w:eastAsia="Arial" w:hAnsi="Arial"/>
                  <w:sz w:val="18"/>
                  <w:szCs w:val="18"/>
                  <w:color w:val="0563C1"/>
                </w:rPr>
                <w:t>Holland LLC and New Penn Motor Express LLC (Conformed copy for reference</w:t>
              </w:r>
            </w:hyperlink>
          </w:p>
        </w:tc>
      </w:tr>
      <w:tr>
        <w:trPr>
          <w:trHeight w:val="465"/>
        </w:trPr>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320" w:type="dxa"/>
            <w:vAlign w:val="bottom"/>
            <w:tcBorders>
              <w:top w:val="single" w:sz="8" w:color="0000EE"/>
            </w:tcBorders>
            <w:gridSpan w:val="5"/>
          </w:tcPr>
          <w:p>
            <w:pPr>
              <w:jc w:val="right"/>
              <w:ind w:right="1000"/>
              <w:spacing w:after="0"/>
              <w:rPr>
                <w:sz w:val="20"/>
                <w:szCs w:val="20"/>
                <w:color w:val="auto"/>
              </w:rPr>
            </w:pPr>
            <w:r>
              <w:rPr>
                <w:rFonts w:ascii="Arial" w:cs="Arial" w:eastAsia="Arial" w:hAnsi="Arial"/>
                <w:sz w:val="18"/>
                <w:szCs w:val="18"/>
                <w:color w:val="auto"/>
              </w:rPr>
              <w:t>68</w:t>
            </w:r>
          </w:p>
        </w:tc>
        <w:tc>
          <w:tcPr>
            <w:tcW w:w="14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2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07"/>
        </w:trPr>
        <w:tc>
          <w:tcPr>
            <w:tcW w:w="1380" w:type="dxa"/>
            <w:vAlign w:val="bottom"/>
          </w:tcPr>
          <w:p>
            <w:pPr>
              <w:spacing w:after="0"/>
              <w:rPr>
                <w:sz w:val="17"/>
                <w:szCs w:val="17"/>
                <w:color w:val="auto"/>
              </w:rPr>
            </w:pPr>
          </w:p>
        </w:tc>
        <w:tc>
          <w:tcPr>
            <w:tcW w:w="9860" w:type="dxa"/>
            <w:vAlign w:val="bottom"/>
            <w:gridSpan w:val="15"/>
          </w:tcPr>
          <w:p>
            <w:pPr>
              <w:spacing w:after="0"/>
              <w:rPr>
                <w:rFonts w:ascii="Arial" w:cs="Arial" w:eastAsia="Arial" w:hAnsi="Arial"/>
                <w:sz w:val="18"/>
                <w:szCs w:val="18"/>
                <w:color w:val="0563C1"/>
                <w:w w:val="93"/>
              </w:rPr>
            </w:pPr>
            <w:hyperlink r:id="rId320">
              <w:r>
                <w:rPr>
                  <w:rFonts w:ascii="Arial" w:cs="Arial" w:eastAsia="Arial" w:hAnsi="Arial"/>
                  <w:sz w:val="18"/>
                  <w:szCs w:val="18"/>
                  <w:color w:val="0563C1"/>
                  <w:w w:val="93"/>
                </w:rPr>
                <w:t>only) (incorporated by reference to Exhibit 10.1 to Quarterly Report on Form 10-Q for the quarter ended June 30, 2019, File No. 000-</w:t>
              </w:r>
            </w:hyperlink>
          </w:p>
        </w:tc>
      </w:tr>
      <w:tr>
        <w:trPr>
          <w:trHeight w:val="196"/>
        </w:trPr>
        <w:tc>
          <w:tcPr>
            <w:tcW w:w="1380" w:type="dxa"/>
            <w:vAlign w:val="bottom"/>
          </w:tcPr>
          <w:p>
            <w:pPr>
              <w:spacing w:after="0"/>
              <w:rPr>
                <w:sz w:val="17"/>
                <w:szCs w:val="17"/>
                <w:color w:val="auto"/>
              </w:rPr>
            </w:pPr>
          </w:p>
        </w:tc>
        <w:tc>
          <w:tcPr>
            <w:tcW w:w="560" w:type="dxa"/>
            <w:vAlign w:val="bottom"/>
            <w:tcBorders>
              <w:top w:val="single" w:sz="8" w:color="0563C1"/>
              <w:bottom w:val="single" w:sz="8" w:color="0563C1"/>
            </w:tcBorders>
          </w:tcPr>
          <w:p>
            <w:pPr>
              <w:spacing w:after="0" w:line="195" w:lineRule="exact"/>
              <w:rPr>
                <w:rFonts w:ascii="Arial" w:cs="Arial" w:eastAsia="Arial" w:hAnsi="Arial"/>
                <w:sz w:val="18"/>
                <w:szCs w:val="18"/>
                <w:color w:val="0563C1"/>
                <w:w w:val="88"/>
              </w:rPr>
            </w:pPr>
            <w:hyperlink r:id="rId320">
              <w:r>
                <w:rPr>
                  <w:rFonts w:ascii="Arial" w:cs="Arial" w:eastAsia="Arial" w:hAnsi="Arial"/>
                  <w:sz w:val="18"/>
                  <w:szCs w:val="18"/>
                  <w:color w:val="0563C1"/>
                  <w:w w:val="88"/>
                </w:rPr>
                <w:t>12255).</w:t>
              </w:r>
            </w:hyperlink>
          </w:p>
        </w:tc>
        <w:tc>
          <w:tcPr>
            <w:tcW w:w="2960" w:type="dxa"/>
            <w:vAlign w:val="bottom"/>
            <w:tcBorders>
              <w:top w:val="single" w:sz="8" w:color="0563C1"/>
            </w:tcBorders>
          </w:tcPr>
          <w:p>
            <w:pPr>
              <w:spacing w:after="0"/>
              <w:rPr>
                <w:sz w:val="17"/>
                <w:szCs w:val="17"/>
                <w:color w:val="auto"/>
              </w:rPr>
            </w:pPr>
          </w:p>
        </w:tc>
        <w:tc>
          <w:tcPr>
            <w:tcW w:w="140" w:type="dxa"/>
            <w:vAlign w:val="bottom"/>
            <w:tcBorders>
              <w:top w:val="single" w:sz="8" w:color="0563C1"/>
            </w:tcBorders>
          </w:tcPr>
          <w:p>
            <w:pPr>
              <w:spacing w:after="0"/>
              <w:rPr>
                <w:sz w:val="17"/>
                <w:szCs w:val="17"/>
                <w:color w:val="auto"/>
              </w:rPr>
            </w:pPr>
          </w:p>
        </w:tc>
        <w:tc>
          <w:tcPr>
            <w:tcW w:w="580" w:type="dxa"/>
            <w:vAlign w:val="bottom"/>
            <w:tcBorders>
              <w:top w:val="single" w:sz="8" w:color="0563C1"/>
            </w:tcBorders>
          </w:tcPr>
          <w:p>
            <w:pPr>
              <w:spacing w:after="0"/>
              <w:rPr>
                <w:sz w:val="17"/>
                <w:szCs w:val="17"/>
                <w:color w:val="auto"/>
              </w:rPr>
            </w:pPr>
          </w:p>
        </w:tc>
        <w:tc>
          <w:tcPr>
            <w:tcW w:w="980" w:type="dxa"/>
            <w:vAlign w:val="bottom"/>
            <w:tcBorders>
              <w:top w:val="single" w:sz="8" w:color="0563C1"/>
            </w:tcBorders>
          </w:tcPr>
          <w:p>
            <w:pPr>
              <w:spacing w:after="0"/>
              <w:rPr>
                <w:sz w:val="17"/>
                <w:szCs w:val="17"/>
                <w:color w:val="auto"/>
              </w:rPr>
            </w:pPr>
          </w:p>
        </w:tc>
        <w:tc>
          <w:tcPr>
            <w:tcW w:w="140" w:type="dxa"/>
            <w:vAlign w:val="bottom"/>
            <w:tcBorders>
              <w:top w:val="single" w:sz="8" w:color="0563C1"/>
            </w:tcBorders>
          </w:tcPr>
          <w:p>
            <w:pPr>
              <w:spacing w:after="0"/>
              <w:rPr>
                <w:sz w:val="17"/>
                <w:szCs w:val="17"/>
                <w:color w:val="auto"/>
              </w:rPr>
            </w:pPr>
          </w:p>
        </w:tc>
        <w:tc>
          <w:tcPr>
            <w:tcW w:w="80" w:type="dxa"/>
            <w:vAlign w:val="bottom"/>
            <w:tcBorders>
              <w:top w:val="single" w:sz="8" w:color="0563C1"/>
            </w:tcBorders>
          </w:tcPr>
          <w:p>
            <w:pPr>
              <w:spacing w:after="0"/>
              <w:rPr>
                <w:sz w:val="17"/>
                <w:szCs w:val="17"/>
                <w:color w:val="auto"/>
              </w:rPr>
            </w:pPr>
          </w:p>
        </w:tc>
        <w:tc>
          <w:tcPr>
            <w:tcW w:w="400" w:type="dxa"/>
            <w:vAlign w:val="bottom"/>
            <w:tcBorders>
              <w:top w:val="single" w:sz="8" w:color="0563C1"/>
            </w:tcBorders>
          </w:tcPr>
          <w:p>
            <w:pPr>
              <w:spacing w:after="0"/>
              <w:rPr>
                <w:sz w:val="17"/>
                <w:szCs w:val="17"/>
                <w:color w:val="auto"/>
              </w:rPr>
            </w:pPr>
          </w:p>
        </w:tc>
        <w:tc>
          <w:tcPr>
            <w:tcW w:w="1060" w:type="dxa"/>
            <w:vAlign w:val="bottom"/>
            <w:tcBorders>
              <w:top w:val="single" w:sz="8" w:color="0563C1"/>
            </w:tcBorders>
          </w:tcPr>
          <w:p>
            <w:pPr>
              <w:spacing w:after="0"/>
              <w:rPr>
                <w:sz w:val="17"/>
                <w:szCs w:val="17"/>
                <w:color w:val="auto"/>
              </w:rPr>
            </w:pPr>
          </w:p>
        </w:tc>
        <w:tc>
          <w:tcPr>
            <w:tcW w:w="220" w:type="dxa"/>
            <w:vAlign w:val="bottom"/>
            <w:tcBorders>
              <w:top w:val="single" w:sz="8" w:color="0563C1"/>
            </w:tcBorders>
          </w:tcPr>
          <w:p>
            <w:pPr>
              <w:spacing w:after="0"/>
              <w:rPr>
                <w:sz w:val="17"/>
                <w:szCs w:val="17"/>
                <w:color w:val="auto"/>
              </w:rPr>
            </w:pPr>
          </w:p>
        </w:tc>
        <w:tc>
          <w:tcPr>
            <w:tcW w:w="340" w:type="dxa"/>
            <w:vAlign w:val="bottom"/>
            <w:tcBorders>
              <w:top w:val="single" w:sz="8" w:color="0563C1"/>
            </w:tcBorders>
          </w:tcPr>
          <w:p>
            <w:pPr>
              <w:spacing w:after="0"/>
              <w:rPr>
                <w:sz w:val="17"/>
                <w:szCs w:val="17"/>
                <w:color w:val="auto"/>
              </w:rPr>
            </w:pPr>
          </w:p>
        </w:tc>
        <w:tc>
          <w:tcPr>
            <w:tcW w:w="420" w:type="dxa"/>
            <w:vAlign w:val="bottom"/>
            <w:tcBorders>
              <w:top w:val="single" w:sz="8" w:color="0563C1"/>
            </w:tcBorders>
          </w:tcPr>
          <w:p>
            <w:pPr>
              <w:spacing w:after="0"/>
              <w:rPr>
                <w:sz w:val="17"/>
                <w:szCs w:val="17"/>
                <w:color w:val="auto"/>
              </w:rPr>
            </w:pPr>
          </w:p>
        </w:tc>
        <w:tc>
          <w:tcPr>
            <w:tcW w:w="1740" w:type="dxa"/>
            <w:vAlign w:val="bottom"/>
            <w:tcBorders>
              <w:top w:val="single" w:sz="8" w:color="0563C1"/>
            </w:tcBorders>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71"/>
        </w:trPr>
        <w:tc>
          <w:tcPr>
            <w:tcW w:w="1380" w:type="dxa"/>
            <w:vAlign w:val="bottom"/>
          </w:tcPr>
          <w:p>
            <w:pPr>
              <w:ind w:left="120"/>
              <w:spacing w:after="0"/>
              <w:rPr>
                <w:sz w:val="20"/>
                <w:szCs w:val="20"/>
                <w:color w:val="auto"/>
              </w:rPr>
            </w:pPr>
            <w:r>
              <w:rPr>
                <w:rFonts w:ascii="Arial" w:cs="Arial" w:eastAsia="Arial" w:hAnsi="Arial"/>
                <w:sz w:val="18"/>
                <w:szCs w:val="18"/>
                <w:color w:val="auto"/>
              </w:rPr>
              <w:t>10.2.1</w:t>
            </w:r>
          </w:p>
        </w:tc>
        <w:tc>
          <w:tcPr>
            <w:tcW w:w="9860" w:type="dxa"/>
            <w:vAlign w:val="bottom"/>
            <w:tcBorders>
              <w:bottom w:val="single" w:sz="8" w:color="0563C1"/>
            </w:tcBorders>
            <w:gridSpan w:val="15"/>
          </w:tcPr>
          <w:p>
            <w:pPr>
              <w:spacing w:after="0"/>
              <w:rPr>
                <w:rFonts w:ascii="Arial" w:cs="Arial" w:eastAsia="Arial" w:hAnsi="Arial"/>
                <w:sz w:val="18"/>
                <w:szCs w:val="18"/>
                <w:color w:val="0563C1"/>
                <w:w w:val="93"/>
              </w:rPr>
            </w:pPr>
            <w:hyperlink r:id="rId323">
              <w:r>
                <w:rPr>
                  <w:rFonts w:ascii="Arial" w:cs="Arial" w:eastAsia="Arial" w:hAnsi="Arial"/>
                  <w:sz w:val="18"/>
                  <w:szCs w:val="18"/>
                  <w:color w:val="0563C1"/>
                  <w:w w:val="93"/>
                </w:rPr>
                <w:t>Second Amended and Restated Contribution Deferral Agreement, dated as of January 31, 2014, among YRC Inc., USF Holland Inc.,</w:t>
              </w:r>
            </w:hyperlink>
          </w:p>
        </w:tc>
      </w:tr>
      <w:tr>
        <w:trPr>
          <w:trHeight w:val="196"/>
        </w:trPr>
        <w:tc>
          <w:tcPr>
            <w:tcW w:w="1380" w:type="dxa"/>
            <w:vAlign w:val="bottom"/>
          </w:tcPr>
          <w:p>
            <w:pPr>
              <w:spacing w:after="0"/>
              <w:rPr>
                <w:sz w:val="17"/>
                <w:szCs w:val="17"/>
                <w:color w:val="auto"/>
              </w:rPr>
            </w:pPr>
          </w:p>
        </w:tc>
        <w:tc>
          <w:tcPr>
            <w:tcW w:w="9840" w:type="dxa"/>
            <w:vAlign w:val="bottom"/>
            <w:tcBorders>
              <w:bottom w:val="single" w:sz="8" w:color="0563C1"/>
            </w:tcBorders>
            <w:gridSpan w:val="14"/>
          </w:tcPr>
          <w:p>
            <w:pPr>
              <w:spacing w:after="0" w:line="195" w:lineRule="exact"/>
              <w:rPr>
                <w:rFonts w:ascii="Arial" w:cs="Arial" w:eastAsia="Arial" w:hAnsi="Arial"/>
                <w:sz w:val="18"/>
                <w:szCs w:val="18"/>
                <w:color w:val="0563C1"/>
                <w:w w:val="91"/>
              </w:rPr>
            </w:pPr>
            <w:hyperlink r:id="rId323">
              <w:r>
                <w:rPr>
                  <w:rFonts w:ascii="Arial" w:cs="Arial" w:eastAsia="Arial" w:hAnsi="Arial"/>
                  <w:sz w:val="18"/>
                  <w:szCs w:val="18"/>
                  <w:color w:val="0563C1"/>
                  <w:w w:val="91"/>
                </w:rPr>
                <w:t>New Penn Motor Express, Inc. and USF Reddaway Inc., collectively as primary obligors, the Trustees for the Central States, Southeast</w:t>
              </w:r>
            </w:hyperlink>
          </w:p>
        </w:tc>
        <w:tc>
          <w:tcPr>
            <w:tcW w:w="20" w:type="dxa"/>
            <w:vAlign w:val="bottom"/>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9840" w:type="dxa"/>
            <w:vAlign w:val="bottom"/>
            <w:tcBorders>
              <w:bottom w:val="single" w:sz="8" w:color="0563C1"/>
            </w:tcBorders>
            <w:gridSpan w:val="14"/>
          </w:tcPr>
          <w:p>
            <w:pPr>
              <w:spacing w:after="0" w:line="195" w:lineRule="exact"/>
              <w:rPr>
                <w:rFonts w:ascii="Arial" w:cs="Arial" w:eastAsia="Arial" w:hAnsi="Arial"/>
                <w:sz w:val="18"/>
                <w:szCs w:val="18"/>
                <w:color w:val="0563C1"/>
                <w:w w:val="95"/>
              </w:rPr>
            </w:pPr>
            <w:hyperlink r:id="rId323">
              <w:r>
                <w:rPr>
                  <w:rFonts w:ascii="Arial" w:cs="Arial" w:eastAsia="Arial" w:hAnsi="Arial"/>
                  <w:sz w:val="18"/>
                  <w:szCs w:val="18"/>
                  <w:color w:val="0563C1"/>
                  <w:w w:val="95"/>
                </w:rPr>
                <w:t>and Southwest Areas Pension Fund, the Wilmington Trust Company, as agent, and the other funds party thereto (incorporated by</w:t>
              </w:r>
            </w:hyperlink>
          </w:p>
        </w:tc>
        <w:tc>
          <w:tcPr>
            <w:tcW w:w="20" w:type="dxa"/>
            <w:vAlign w:val="bottom"/>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7880" w:type="dxa"/>
            <w:vAlign w:val="bottom"/>
            <w:tcBorders>
              <w:bottom w:val="single" w:sz="8" w:color="0563C1"/>
            </w:tcBorders>
            <w:gridSpan w:val="12"/>
          </w:tcPr>
          <w:p>
            <w:pPr>
              <w:spacing w:after="0" w:line="195" w:lineRule="exact"/>
              <w:rPr>
                <w:rFonts w:ascii="Arial" w:cs="Arial" w:eastAsia="Arial" w:hAnsi="Arial"/>
                <w:sz w:val="18"/>
                <w:szCs w:val="18"/>
                <w:color w:val="0563C1"/>
                <w:w w:val="91"/>
              </w:rPr>
            </w:pPr>
            <w:hyperlink r:id="rId323">
              <w:r>
                <w:rPr>
                  <w:rFonts w:ascii="Arial" w:cs="Arial" w:eastAsia="Arial" w:hAnsi="Arial"/>
                  <w:sz w:val="18"/>
                  <w:szCs w:val="18"/>
                  <w:color w:val="0563C1"/>
                  <w:w w:val="91"/>
                </w:rPr>
                <w:t>reference to Exhibit 10.1 to the Current Report on Form 8-K, filed on January 31, 2014, File No. 000-12255).</w:t>
              </w:r>
            </w:hyperlink>
          </w:p>
        </w:tc>
        <w:tc>
          <w:tcPr>
            <w:tcW w:w="1980" w:type="dxa"/>
            <w:vAlign w:val="bottom"/>
            <w:gridSpan w:val="3"/>
          </w:tcPr>
          <w:p>
            <w:pPr>
              <w:spacing w:after="0"/>
              <w:rPr>
                <w:sz w:val="17"/>
                <w:szCs w:val="17"/>
                <w:color w:val="auto"/>
              </w:rPr>
            </w:pPr>
          </w:p>
        </w:tc>
      </w:tr>
      <w:tr>
        <w:trPr>
          <w:trHeight w:val="371"/>
        </w:trPr>
        <w:tc>
          <w:tcPr>
            <w:tcW w:w="1380" w:type="dxa"/>
            <w:vAlign w:val="bottom"/>
          </w:tcPr>
          <w:p>
            <w:pPr>
              <w:ind w:left="120"/>
              <w:spacing w:after="0"/>
              <w:rPr>
                <w:sz w:val="20"/>
                <w:szCs w:val="20"/>
                <w:color w:val="auto"/>
              </w:rPr>
            </w:pPr>
            <w:r>
              <w:rPr>
                <w:rFonts w:ascii="Arial" w:cs="Arial" w:eastAsia="Arial" w:hAnsi="Arial"/>
                <w:sz w:val="18"/>
                <w:szCs w:val="18"/>
                <w:color w:val="auto"/>
              </w:rPr>
              <w:t>10.2.2</w:t>
            </w:r>
          </w:p>
        </w:tc>
        <w:tc>
          <w:tcPr>
            <w:tcW w:w="9840" w:type="dxa"/>
            <w:vAlign w:val="bottom"/>
            <w:tcBorders>
              <w:bottom w:val="single" w:sz="8" w:color="0563C1"/>
            </w:tcBorders>
            <w:gridSpan w:val="14"/>
          </w:tcPr>
          <w:p>
            <w:pPr>
              <w:spacing w:after="0"/>
              <w:rPr>
                <w:rFonts w:ascii="Arial" w:cs="Arial" w:eastAsia="Arial" w:hAnsi="Arial"/>
                <w:sz w:val="18"/>
                <w:szCs w:val="18"/>
                <w:color w:val="0563C1"/>
                <w:w w:val="91"/>
              </w:rPr>
            </w:pPr>
            <w:hyperlink r:id="rId324">
              <w:r>
                <w:rPr>
                  <w:rFonts w:ascii="Arial" w:cs="Arial" w:eastAsia="Arial" w:hAnsi="Arial"/>
                  <w:sz w:val="18"/>
                  <w:szCs w:val="18"/>
                  <w:color w:val="0563C1"/>
                  <w:w w:val="91"/>
                </w:rPr>
                <w:t>Letter Agreement, dated as of January 29, 2014 and effective as of January 31, 2014, among Central States, Southeast and Southwest</w:t>
              </w:r>
            </w:hyperlink>
          </w:p>
        </w:tc>
        <w:tc>
          <w:tcPr>
            <w:tcW w:w="20" w:type="dxa"/>
            <w:vAlign w:val="bottom"/>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9840" w:type="dxa"/>
            <w:vAlign w:val="bottom"/>
            <w:tcBorders>
              <w:bottom w:val="single" w:sz="8" w:color="0563C1"/>
            </w:tcBorders>
            <w:gridSpan w:val="14"/>
          </w:tcPr>
          <w:p>
            <w:pPr>
              <w:spacing w:after="0" w:line="195" w:lineRule="exact"/>
              <w:rPr>
                <w:rFonts w:ascii="Arial" w:cs="Arial" w:eastAsia="Arial" w:hAnsi="Arial"/>
                <w:sz w:val="18"/>
                <w:szCs w:val="18"/>
                <w:color w:val="0563C1"/>
                <w:w w:val="95"/>
              </w:rPr>
            </w:pPr>
            <w:hyperlink r:id="rId324">
              <w:r>
                <w:rPr>
                  <w:rFonts w:ascii="Arial" w:cs="Arial" w:eastAsia="Arial" w:hAnsi="Arial"/>
                  <w:sz w:val="18"/>
                  <w:szCs w:val="18"/>
                  <w:color w:val="0563C1"/>
                  <w:w w:val="95"/>
                </w:rPr>
                <w:t>Areas Pension Fund, YRC, Inc., USF Holland Inc., New Penn Motor Express, Inc., USF Reddaway Inc., as primary obligors, YRC</w:t>
              </w:r>
            </w:hyperlink>
          </w:p>
        </w:tc>
        <w:tc>
          <w:tcPr>
            <w:tcW w:w="20" w:type="dxa"/>
            <w:vAlign w:val="bottom"/>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9860" w:type="dxa"/>
            <w:vAlign w:val="bottom"/>
            <w:gridSpan w:val="15"/>
          </w:tcPr>
          <w:p>
            <w:pPr>
              <w:spacing w:after="0" w:line="195" w:lineRule="exact"/>
              <w:rPr>
                <w:rFonts w:ascii="Arial" w:cs="Arial" w:eastAsia="Arial" w:hAnsi="Arial"/>
                <w:sz w:val="18"/>
                <w:szCs w:val="18"/>
                <w:color w:val="0563C1"/>
                <w:w w:val="91"/>
              </w:rPr>
            </w:pPr>
            <w:hyperlink r:id="rId324">
              <w:r>
                <w:rPr>
                  <w:rFonts w:ascii="Arial" w:cs="Arial" w:eastAsia="Arial" w:hAnsi="Arial"/>
                  <w:sz w:val="18"/>
                  <w:szCs w:val="18"/>
                  <w:color w:val="0563C1"/>
                  <w:w w:val="91"/>
                </w:rPr>
                <w:t>Worldwide Inc., as primary guarantor, and certain additional guarantors (incorporated by reference to Exhibit 10.2 to Current Report on</w:t>
              </w:r>
            </w:hyperlink>
          </w:p>
        </w:tc>
      </w:tr>
      <w:tr>
        <w:trPr>
          <w:trHeight w:val="196"/>
        </w:trPr>
        <w:tc>
          <w:tcPr>
            <w:tcW w:w="1380" w:type="dxa"/>
            <w:vAlign w:val="bottom"/>
          </w:tcPr>
          <w:p>
            <w:pPr>
              <w:spacing w:after="0"/>
              <w:rPr>
                <w:sz w:val="17"/>
                <w:szCs w:val="17"/>
                <w:color w:val="auto"/>
              </w:rPr>
            </w:pPr>
          </w:p>
        </w:tc>
        <w:tc>
          <w:tcPr>
            <w:tcW w:w="7460" w:type="dxa"/>
            <w:vAlign w:val="bottom"/>
            <w:tcBorders>
              <w:top w:val="single" w:sz="8" w:color="0563C1"/>
            </w:tcBorders>
            <w:gridSpan w:val="11"/>
          </w:tcPr>
          <w:p>
            <w:pPr>
              <w:spacing w:after="0" w:line="195" w:lineRule="exact"/>
              <w:rPr>
                <w:rFonts w:ascii="Arial" w:cs="Arial" w:eastAsia="Arial" w:hAnsi="Arial"/>
                <w:sz w:val="18"/>
                <w:szCs w:val="18"/>
                <w:color w:val="0563C1"/>
              </w:rPr>
            </w:pPr>
            <w:hyperlink r:id="rId324">
              <w:r>
                <w:rPr>
                  <w:rFonts w:ascii="Arial" w:cs="Arial" w:eastAsia="Arial" w:hAnsi="Arial"/>
                  <w:sz w:val="18"/>
                  <w:szCs w:val="18"/>
                  <w:color w:val="0563C1"/>
                </w:rPr>
                <w:t>Form 8-K, filed on January 31, 2014, File No. 000-12255).</w:t>
              </w:r>
            </w:hyperlink>
          </w:p>
        </w:tc>
        <w:tc>
          <w:tcPr>
            <w:tcW w:w="420" w:type="dxa"/>
            <w:vAlign w:val="bottom"/>
            <w:tcBorders>
              <w:top w:val="single" w:sz="8" w:color="0563C1"/>
            </w:tcBorders>
          </w:tcPr>
          <w:p>
            <w:pPr>
              <w:spacing w:after="0"/>
              <w:rPr>
                <w:sz w:val="17"/>
                <w:szCs w:val="17"/>
                <w:color w:val="auto"/>
              </w:rPr>
            </w:pPr>
          </w:p>
        </w:tc>
        <w:tc>
          <w:tcPr>
            <w:tcW w:w="1740" w:type="dxa"/>
            <w:vAlign w:val="bottom"/>
            <w:tcBorders>
              <w:top w:val="single" w:sz="8" w:color="0563C1"/>
            </w:tcBorders>
          </w:tcPr>
          <w:p>
            <w:pPr>
              <w:spacing w:after="0"/>
              <w:rPr>
                <w:sz w:val="17"/>
                <w:szCs w:val="17"/>
                <w:color w:val="auto"/>
              </w:rPr>
            </w:pPr>
          </w:p>
        </w:tc>
        <w:tc>
          <w:tcPr>
            <w:tcW w:w="220" w:type="dxa"/>
            <w:vAlign w:val="bottom"/>
            <w:tcBorders>
              <w:top w:val="single" w:sz="8" w:color="0563C1"/>
            </w:tcBorders>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3520" w:type="dxa"/>
            <w:vAlign w:val="bottom"/>
            <w:gridSpan w:val="2"/>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380" w:type="dxa"/>
            <w:vAlign w:val="bottom"/>
          </w:tcPr>
          <w:p>
            <w:pPr>
              <w:ind w:left="120"/>
              <w:spacing w:after="0"/>
              <w:rPr>
                <w:sz w:val="20"/>
                <w:szCs w:val="20"/>
                <w:color w:val="auto"/>
              </w:rPr>
            </w:pPr>
            <w:r>
              <w:rPr>
                <w:rFonts w:ascii="Arial" w:cs="Arial" w:eastAsia="Arial" w:hAnsi="Arial"/>
                <w:sz w:val="18"/>
                <w:szCs w:val="18"/>
                <w:color w:val="auto"/>
              </w:rPr>
              <w:t>10.2.3</w:t>
            </w:r>
          </w:p>
        </w:tc>
        <w:tc>
          <w:tcPr>
            <w:tcW w:w="9840" w:type="dxa"/>
            <w:vAlign w:val="bottom"/>
            <w:tcBorders>
              <w:bottom w:val="single" w:sz="8" w:color="0563C1"/>
            </w:tcBorders>
            <w:gridSpan w:val="14"/>
          </w:tcPr>
          <w:p>
            <w:pPr>
              <w:spacing w:after="0"/>
              <w:rPr>
                <w:rFonts w:ascii="Arial" w:cs="Arial" w:eastAsia="Arial" w:hAnsi="Arial"/>
                <w:sz w:val="18"/>
                <w:szCs w:val="18"/>
                <w:color w:val="0563C1"/>
                <w:w w:val="91"/>
              </w:rPr>
            </w:pPr>
            <w:hyperlink r:id="rId325">
              <w:r>
                <w:rPr>
                  <w:rFonts w:ascii="Arial" w:cs="Arial" w:eastAsia="Arial" w:hAnsi="Arial"/>
                  <w:sz w:val="18"/>
                  <w:szCs w:val="18"/>
                  <w:color w:val="0563C1"/>
                  <w:w w:val="91"/>
                </w:rPr>
                <w:t>Amendment No. 1 to Second Amended and Restated Contribution Deferral Agreement among YRC Inc., USF Holland LLC, New Penn</w:t>
              </w:r>
            </w:hyperlink>
          </w:p>
        </w:tc>
        <w:tc>
          <w:tcPr>
            <w:tcW w:w="20" w:type="dxa"/>
            <w:vAlign w:val="bottom"/>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9840" w:type="dxa"/>
            <w:vAlign w:val="bottom"/>
            <w:tcBorders>
              <w:bottom w:val="single" w:sz="8" w:color="0563C1"/>
            </w:tcBorders>
            <w:gridSpan w:val="14"/>
          </w:tcPr>
          <w:p>
            <w:pPr>
              <w:spacing w:after="0" w:line="195" w:lineRule="exact"/>
              <w:rPr>
                <w:rFonts w:ascii="Arial" w:cs="Arial" w:eastAsia="Arial" w:hAnsi="Arial"/>
                <w:sz w:val="18"/>
                <w:szCs w:val="18"/>
                <w:color w:val="0563C1"/>
                <w:w w:val="96"/>
              </w:rPr>
            </w:pPr>
            <w:hyperlink r:id="rId325">
              <w:r>
                <w:rPr>
                  <w:rFonts w:ascii="Arial" w:cs="Arial" w:eastAsia="Arial" w:hAnsi="Arial"/>
                  <w:sz w:val="18"/>
                  <w:szCs w:val="18"/>
                  <w:color w:val="0563C1"/>
                  <w:w w:val="96"/>
                </w:rPr>
                <w:t>Motor Express LLC and USF Reddaway Inc., collectively as primary obligors, the Trustees for the Central States, Southeast and</w:t>
              </w:r>
            </w:hyperlink>
          </w:p>
        </w:tc>
        <w:tc>
          <w:tcPr>
            <w:tcW w:w="20" w:type="dxa"/>
            <w:vAlign w:val="bottom"/>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9860" w:type="dxa"/>
            <w:vAlign w:val="bottom"/>
            <w:tcBorders>
              <w:bottom w:val="single" w:sz="8" w:color="0563C1"/>
            </w:tcBorders>
            <w:gridSpan w:val="15"/>
          </w:tcPr>
          <w:p>
            <w:pPr>
              <w:spacing w:after="0" w:line="195" w:lineRule="exact"/>
              <w:rPr>
                <w:rFonts w:ascii="Arial" w:cs="Arial" w:eastAsia="Arial" w:hAnsi="Arial"/>
                <w:sz w:val="18"/>
                <w:szCs w:val="18"/>
                <w:color w:val="0563C1"/>
                <w:w w:val="91"/>
              </w:rPr>
            </w:pPr>
            <w:hyperlink r:id="rId325">
              <w:r>
                <w:rPr>
                  <w:rFonts w:ascii="Arial" w:cs="Arial" w:eastAsia="Arial" w:hAnsi="Arial"/>
                  <w:sz w:val="18"/>
                  <w:szCs w:val="18"/>
                  <w:color w:val="0563C1"/>
                  <w:w w:val="91"/>
                </w:rPr>
                <w:t>Southwest Areas Pension Fund, the Wilmington Trust Company, as agent, and the other funds party thereto (incorporated by reference</w:t>
              </w:r>
            </w:hyperlink>
          </w:p>
        </w:tc>
      </w:tr>
      <w:tr>
        <w:trPr>
          <w:trHeight w:val="196"/>
        </w:trPr>
        <w:tc>
          <w:tcPr>
            <w:tcW w:w="1380" w:type="dxa"/>
            <w:vAlign w:val="bottom"/>
          </w:tcPr>
          <w:p>
            <w:pPr>
              <w:spacing w:after="0"/>
              <w:rPr>
                <w:sz w:val="17"/>
                <w:szCs w:val="17"/>
                <w:color w:val="auto"/>
              </w:rPr>
            </w:pPr>
          </w:p>
        </w:tc>
        <w:tc>
          <w:tcPr>
            <w:tcW w:w="7460" w:type="dxa"/>
            <w:vAlign w:val="bottom"/>
            <w:gridSpan w:val="11"/>
          </w:tcPr>
          <w:p>
            <w:pPr>
              <w:spacing w:after="0" w:line="195" w:lineRule="exact"/>
              <w:rPr>
                <w:rFonts w:ascii="Arial" w:cs="Arial" w:eastAsia="Arial" w:hAnsi="Arial"/>
                <w:sz w:val="18"/>
                <w:szCs w:val="18"/>
                <w:color w:val="0563C1"/>
                <w:w w:val="99"/>
              </w:rPr>
            </w:pPr>
            <w:hyperlink r:id="rId325">
              <w:r>
                <w:rPr>
                  <w:rFonts w:ascii="Arial" w:cs="Arial" w:eastAsia="Arial" w:hAnsi="Arial"/>
                  <w:sz w:val="18"/>
                  <w:szCs w:val="18"/>
                  <w:color w:val="0563C1"/>
                  <w:w w:val="99"/>
                </w:rPr>
                <w:t>to Exhibit 10.1 to Current Report on Form 8-K, filed on January 31, 2018, File No. 000-12255).</w:t>
              </w:r>
            </w:hyperlink>
          </w:p>
        </w:tc>
        <w:tc>
          <w:tcPr>
            <w:tcW w:w="4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3520" w:type="dxa"/>
            <w:vAlign w:val="bottom"/>
            <w:gridSpan w:val="2"/>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560" w:type="dxa"/>
            <w:vAlign w:val="bottom"/>
            <w:gridSpan w:val="2"/>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1060" w:type="dxa"/>
            <w:vAlign w:val="bottom"/>
            <w:shd w:val="clear" w:color="auto" w:fill="0563C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380" w:type="dxa"/>
            <w:vAlign w:val="bottom"/>
          </w:tcPr>
          <w:p>
            <w:pPr>
              <w:ind w:left="120"/>
              <w:spacing w:after="0"/>
              <w:rPr>
                <w:sz w:val="20"/>
                <w:szCs w:val="20"/>
                <w:color w:val="auto"/>
              </w:rPr>
            </w:pPr>
            <w:r>
              <w:rPr>
                <w:rFonts w:ascii="Arial" w:cs="Arial" w:eastAsia="Arial" w:hAnsi="Arial"/>
                <w:sz w:val="18"/>
                <w:szCs w:val="18"/>
                <w:color w:val="auto"/>
              </w:rPr>
              <w:t>10.3.1</w:t>
            </w:r>
          </w:p>
        </w:tc>
        <w:tc>
          <w:tcPr>
            <w:tcW w:w="9840" w:type="dxa"/>
            <w:vAlign w:val="bottom"/>
            <w:tcBorders>
              <w:bottom w:val="single" w:sz="8" w:color="0563C1"/>
            </w:tcBorders>
            <w:gridSpan w:val="14"/>
          </w:tcPr>
          <w:p>
            <w:pPr>
              <w:spacing w:after="0"/>
              <w:rPr>
                <w:rFonts w:ascii="Arial" w:cs="Arial" w:eastAsia="Arial" w:hAnsi="Arial"/>
                <w:sz w:val="18"/>
                <w:szCs w:val="18"/>
                <w:color w:val="0563C1"/>
                <w:w w:val="89"/>
              </w:rPr>
            </w:pPr>
            <w:hyperlink r:id="rId326">
              <w:r>
                <w:rPr>
                  <w:rFonts w:ascii="Arial" w:cs="Arial" w:eastAsia="Arial" w:hAnsi="Arial"/>
                  <w:sz w:val="18"/>
                  <w:szCs w:val="18"/>
                  <w:color w:val="0563C1"/>
                  <w:w w:val="89"/>
                </w:rPr>
                <w:t>Amended and Restated Credit Agreement, dated as of September 11, 2019, by and among the Company, as borrower, the subsidiaries of</w:t>
              </w:r>
            </w:hyperlink>
          </w:p>
        </w:tc>
        <w:tc>
          <w:tcPr>
            <w:tcW w:w="20" w:type="dxa"/>
            <w:vAlign w:val="bottom"/>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9860" w:type="dxa"/>
            <w:vAlign w:val="bottom"/>
            <w:tcBorders>
              <w:bottom w:val="single" w:sz="8" w:color="0563C1"/>
            </w:tcBorders>
            <w:gridSpan w:val="15"/>
          </w:tcPr>
          <w:p>
            <w:pPr>
              <w:spacing w:after="0" w:line="195" w:lineRule="exact"/>
              <w:rPr>
                <w:rFonts w:ascii="Arial" w:cs="Arial" w:eastAsia="Arial" w:hAnsi="Arial"/>
                <w:sz w:val="18"/>
                <w:szCs w:val="18"/>
                <w:color w:val="0563C1"/>
                <w:w w:val="91"/>
              </w:rPr>
            </w:pPr>
            <w:hyperlink r:id="rId326">
              <w:r>
                <w:rPr>
                  <w:rFonts w:ascii="Arial" w:cs="Arial" w:eastAsia="Arial" w:hAnsi="Arial"/>
                  <w:sz w:val="18"/>
                  <w:szCs w:val="18"/>
                  <w:color w:val="0563C1"/>
                  <w:w w:val="91"/>
                </w:rPr>
                <w:t>the borrower party thereto from time to time, the lenders from time to time party thereto, and Cortland Products Corp., as administrative</w:t>
              </w:r>
            </w:hyperlink>
          </w:p>
        </w:tc>
      </w:tr>
      <w:tr>
        <w:trPr>
          <w:trHeight w:val="196"/>
        </w:trPr>
        <w:tc>
          <w:tcPr>
            <w:tcW w:w="1380" w:type="dxa"/>
            <w:vAlign w:val="bottom"/>
          </w:tcPr>
          <w:p>
            <w:pPr>
              <w:spacing w:after="0"/>
              <w:rPr>
                <w:sz w:val="17"/>
                <w:szCs w:val="17"/>
                <w:color w:val="auto"/>
              </w:rPr>
            </w:pPr>
          </w:p>
        </w:tc>
        <w:tc>
          <w:tcPr>
            <w:tcW w:w="9860" w:type="dxa"/>
            <w:vAlign w:val="bottom"/>
            <w:gridSpan w:val="15"/>
          </w:tcPr>
          <w:p>
            <w:pPr>
              <w:spacing w:after="0" w:line="195" w:lineRule="exact"/>
              <w:rPr>
                <w:rFonts w:ascii="Arial" w:cs="Arial" w:eastAsia="Arial" w:hAnsi="Arial"/>
                <w:sz w:val="18"/>
                <w:szCs w:val="18"/>
                <w:color w:val="0563C1"/>
                <w:w w:val="93"/>
              </w:rPr>
            </w:pPr>
            <w:hyperlink r:id="rId326">
              <w:r>
                <w:rPr>
                  <w:rFonts w:ascii="Arial" w:cs="Arial" w:eastAsia="Arial" w:hAnsi="Arial"/>
                  <w:sz w:val="18"/>
                  <w:szCs w:val="18"/>
                  <w:color w:val="0563C1"/>
                  <w:w w:val="93"/>
                </w:rPr>
                <w:t>agent and collateral agent for the lenders (incorporated by reference to Exhibit 10.1 to Quarterly Report on Form 10-Q for the quarter</w:t>
              </w:r>
            </w:hyperlink>
          </w:p>
        </w:tc>
      </w:tr>
      <w:tr>
        <w:trPr>
          <w:trHeight w:val="196"/>
        </w:trPr>
        <w:tc>
          <w:tcPr>
            <w:tcW w:w="1380" w:type="dxa"/>
            <w:vAlign w:val="bottom"/>
          </w:tcPr>
          <w:p>
            <w:pPr>
              <w:spacing w:after="0"/>
              <w:rPr>
                <w:sz w:val="17"/>
                <w:szCs w:val="17"/>
                <w:color w:val="auto"/>
              </w:rPr>
            </w:pPr>
          </w:p>
        </w:tc>
        <w:tc>
          <w:tcPr>
            <w:tcW w:w="7460" w:type="dxa"/>
            <w:vAlign w:val="bottom"/>
            <w:tcBorders>
              <w:top w:val="single" w:sz="8" w:color="0563C1"/>
            </w:tcBorders>
            <w:gridSpan w:val="11"/>
          </w:tcPr>
          <w:p>
            <w:pPr>
              <w:spacing w:after="0" w:line="195" w:lineRule="exact"/>
              <w:rPr>
                <w:rFonts w:ascii="Arial" w:cs="Arial" w:eastAsia="Arial" w:hAnsi="Arial"/>
                <w:sz w:val="18"/>
                <w:szCs w:val="18"/>
                <w:color w:val="0563C1"/>
              </w:rPr>
            </w:pPr>
            <w:hyperlink r:id="rId326">
              <w:r>
                <w:rPr>
                  <w:rFonts w:ascii="Arial" w:cs="Arial" w:eastAsia="Arial" w:hAnsi="Arial"/>
                  <w:sz w:val="18"/>
                  <w:szCs w:val="18"/>
                  <w:color w:val="0563C1"/>
                </w:rPr>
                <w:t>ended September 30, 2019, File No. 000-12255).</w:t>
              </w:r>
            </w:hyperlink>
          </w:p>
        </w:tc>
        <w:tc>
          <w:tcPr>
            <w:tcW w:w="420" w:type="dxa"/>
            <w:vAlign w:val="bottom"/>
            <w:tcBorders>
              <w:top w:val="single" w:sz="8" w:color="0563C1"/>
            </w:tcBorders>
          </w:tcPr>
          <w:p>
            <w:pPr>
              <w:spacing w:after="0"/>
              <w:rPr>
                <w:sz w:val="17"/>
                <w:szCs w:val="17"/>
                <w:color w:val="auto"/>
              </w:rPr>
            </w:pPr>
          </w:p>
        </w:tc>
        <w:tc>
          <w:tcPr>
            <w:tcW w:w="1740" w:type="dxa"/>
            <w:vAlign w:val="bottom"/>
            <w:tcBorders>
              <w:top w:val="single" w:sz="8" w:color="0563C1"/>
            </w:tcBorders>
          </w:tcPr>
          <w:p>
            <w:pPr>
              <w:spacing w:after="0"/>
              <w:rPr>
                <w:sz w:val="17"/>
                <w:szCs w:val="17"/>
                <w:color w:val="auto"/>
              </w:rPr>
            </w:pPr>
          </w:p>
        </w:tc>
        <w:tc>
          <w:tcPr>
            <w:tcW w:w="220" w:type="dxa"/>
            <w:vAlign w:val="bottom"/>
            <w:tcBorders>
              <w:top w:val="single" w:sz="8" w:color="0563C1"/>
            </w:tcBorders>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3520" w:type="dxa"/>
            <w:vAlign w:val="bottom"/>
            <w:gridSpan w:val="2"/>
            <w:shd w:val="clear" w:color="auto" w:fill="0563C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380" w:type="dxa"/>
            <w:vAlign w:val="bottom"/>
          </w:tcPr>
          <w:p>
            <w:pPr>
              <w:ind w:left="120"/>
              <w:spacing w:after="0"/>
              <w:rPr>
                <w:sz w:val="20"/>
                <w:szCs w:val="20"/>
                <w:color w:val="auto"/>
              </w:rPr>
            </w:pPr>
            <w:r>
              <w:rPr>
                <w:rFonts w:ascii="Arial" w:cs="Arial" w:eastAsia="Arial" w:hAnsi="Arial"/>
                <w:sz w:val="18"/>
                <w:szCs w:val="18"/>
                <w:color w:val="auto"/>
              </w:rPr>
              <w:t>10.3.2</w:t>
            </w:r>
          </w:p>
        </w:tc>
        <w:tc>
          <w:tcPr>
            <w:tcW w:w="9840" w:type="dxa"/>
            <w:vAlign w:val="bottom"/>
            <w:tcBorders>
              <w:bottom w:val="single" w:sz="8" w:color="0563C1"/>
            </w:tcBorders>
            <w:gridSpan w:val="14"/>
          </w:tcPr>
          <w:p>
            <w:pPr>
              <w:spacing w:after="0"/>
              <w:rPr>
                <w:rFonts w:ascii="Arial" w:cs="Arial" w:eastAsia="Arial" w:hAnsi="Arial"/>
                <w:sz w:val="18"/>
                <w:szCs w:val="18"/>
                <w:color w:val="0563C1"/>
                <w:w w:val="94"/>
              </w:rPr>
            </w:pPr>
            <w:hyperlink r:id="rId327">
              <w:r>
                <w:rPr>
                  <w:rFonts w:ascii="Arial" w:cs="Arial" w:eastAsia="Arial" w:hAnsi="Arial"/>
                  <w:sz w:val="18"/>
                  <w:szCs w:val="18"/>
                  <w:color w:val="0563C1"/>
                  <w:w w:val="94"/>
                </w:rPr>
                <w:t>Amendment No. 1 to Amended and Restated Credit Agreement, dated April 7, 2020, by and among the Company, as borrower, the</w:t>
              </w:r>
            </w:hyperlink>
          </w:p>
        </w:tc>
        <w:tc>
          <w:tcPr>
            <w:tcW w:w="20" w:type="dxa"/>
            <w:vAlign w:val="bottom"/>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9840" w:type="dxa"/>
            <w:vAlign w:val="bottom"/>
            <w:tcBorders>
              <w:bottom w:val="single" w:sz="8" w:color="0563C1"/>
            </w:tcBorders>
            <w:gridSpan w:val="14"/>
          </w:tcPr>
          <w:p>
            <w:pPr>
              <w:spacing w:after="0" w:line="195" w:lineRule="exact"/>
              <w:rPr>
                <w:rFonts w:ascii="Arial" w:cs="Arial" w:eastAsia="Arial" w:hAnsi="Arial"/>
                <w:sz w:val="18"/>
                <w:szCs w:val="18"/>
                <w:color w:val="0563C1"/>
                <w:w w:val="93"/>
              </w:rPr>
            </w:pPr>
            <w:hyperlink r:id="rId327">
              <w:r>
                <w:rPr>
                  <w:rFonts w:ascii="Arial" w:cs="Arial" w:eastAsia="Arial" w:hAnsi="Arial"/>
                  <w:sz w:val="18"/>
                  <w:szCs w:val="18"/>
                  <w:color w:val="0563C1"/>
                  <w:w w:val="93"/>
                </w:rPr>
                <w:t>subsidiaries of the borrower party thereto from time to time, the lenders from time to time party thereto, and Cortland Products Corp.</w:t>
              </w:r>
            </w:hyperlink>
          </w:p>
        </w:tc>
        <w:tc>
          <w:tcPr>
            <w:tcW w:w="20" w:type="dxa"/>
            <w:vAlign w:val="bottom"/>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9860" w:type="dxa"/>
            <w:vAlign w:val="bottom"/>
            <w:tcBorders>
              <w:bottom w:val="single" w:sz="8" w:color="0563C1"/>
            </w:tcBorders>
            <w:gridSpan w:val="15"/>
          </w:tcPr>
          <w:p>
            <w:pPr>
              <w:spacing w:after="0" w:line="195" w:lineRule="exact"/>
              <w:rPr>
                <w:rFonts w:ascii="Arial" w:cs="Arial" w:eastAsia="Arial" w:hAnsi="Arial"/>
                <w:sz w:val="18"/>
                <w:szCs w:val="18"/>
                <w:color w:val="0563C1"/>
                <w:w w:val="93"/>
              </w:rPr>
            </w:pPr>
            <w:hyperlink r:id="rId327">
              <w:r>
                <w:rPr>
                  <w:rFonts w:ascii="Arial" w:cs="Arial" w:eastAsia="Arial" w:hAnsi="Arial"/>
                  <w:sz w:val="18"/>
                  <w:szCs w:val="18"/>
                  <w:color w:val="0563C1"/>
                  <w:w w:val="93"/>
                </w:rPr>
                <w:t>(n/k/a Alter Domus Products Corp.), as administrative agent and collateral agent for the lenders (incorporated by reference to Exhibit</w:t>
              </w:r>
            </w:hyperlink>
          </w:p>
        </w:tc>
      </w:tr>
      <w:tr>
        <w:trPr>
          <w:trHeight w:val="196"/>
        </w:trPr>
        <w:tc>
          <w:tcPr>
            <w:tcW w:w="1380" w:type="dxa"/>
            <w:vAlign w:val="bottom"/>
          </w:tcPr>
          <w:p>
            <w:pPr>
              <w:spacing w:after="0"/>
              <w:rPr>
                <w:sz w:val="17"/>
                <w:szCs w:val="17"/>
                <w:color w:val="auto"/>
              </w:rPr>
            </w:pPr>
          </w:p>
        </w:tc>
        <w:tc>
          <w:tcPr>
            <w:tcW w:w="7460" w:type="dxa"/>
            <w:vAlign w:val="bottom"/>
            <w:gridSpan w:val="11"/>
          </w:tcPr>
          <w:p>
            <w:pPr>
              <w:spacing w:after="0" w:line="195" w:lineRule="exact"/>
              <w:rPr>
                <w:rFonts w:ascii="Arial" w:cs="Arial" w:eastAsia="Arial" w:hAnsi="Arial"/>
                <w:sz w:val="18"/>
                <w:szCs w:val="18"/>
                <w:color w:val="0563C1"/>
                <w:w w:val="90"/>
              </w:rPr>
            </w:pPr>
            <w:hyperlink r:id="rId327">
              <w:r>
                <w:rPr>
                  <w:rFonts w:ascii="Arial" w:cs="Arial" w:eastAsia="Arial" w:hAnsi="Arial"/>
                  <w:sz w:val="18"/>
                  <w:szCs w:val="18"/>
                  <w:color w:val="0563C1"/>
                  <w:w w:val="90"/>
                </w:rPr>
                <w:t>10.</w:t>
              </w:r>
              <w:r>
                <w:rPr>
                  <w:rFonts w:ascii="Arial" w:cs="Arial" w:eastAsia="Arial" w:hAnsi="Arial"/>
                  <w:sz w:val="18"/>
                  <w:szCs w:val="18"/>
                  <w:u w:val="single" w:color="auto"/>
                  <w:color w:val="0563C1"/>
                  <w:w w:val="90"/>
                </w:rPr>
                <w:t>1</w:t>
              </w:r>
              <w:r>
                <w:rPr>
                  <w:rFonts w:ascii="Arial" w:cs="Arial" w:eastAsia="Arial" w:hAnsi="Arial"/>
                  <w:sz w:val="18"/>
                  <w:szCs w:val="18"/>
                  <w:color w:val="0563C1"/>
                  <w:w w:val="90"/>
                </w:rPr>
                <w:t xml:space="preserve"> to the Quarterly Report on Form 10-Q for the quarter ended March 31, 2020, File No. 000-12255).</w:t>
              </w:r>
            </w:hyperlink>
          </w:p>
        </w:tc>
        <w:tc>
          <w:tcPr>
            <w:tcW w:w="4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3660" w:type="dxa"/>
            <w:vAlign w:val="bottom"/>
            <w:gridSpan w:val="3"/>
            <w:shd w:val="clear" w:color="auto" w:fill="0563C1"/>
          </w:tcPr>
          <w:p>
            <w:pPr>
              <w:spacing w:after="0" w:line="20" w:lineRule="exact"/>
              <w:rPr>
                <w:sz w:val="1"/>
                <w:szCs w:val="1"/>
                <w:color w:val="auto"/>
              </w:rPr>
            </w:pPr>
          </w:p>
        </w:tc>
        <w:tc>
          <w:tcPr>
            <w:tcW w:w="1560" w:type="dxa"/>
            <w:vAlign w:val="bottom"/>
            <w:gridSpan w:val="2"/>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1280" w:type="dxa"/>
            <w:vAlign w:val="bottom"/>
            <w:gridSpan w:val="2"/>
            <w:shd w:val="clear" w:color="auto" w:fill="0563C1"/>
          </w:tcPr>
          <w:p>
            <w:pPr>
              <w:spacing w:after="0" w:line="20" w:lineRule="exact"/>
              <w:rPr>
                <w:sz w:val="1"/>
                <w:szCs w:val="1"/>
                <w:color w:val="auto"/>
              </w:rPr>
            </w:pPr>
          </w:p>
        </w:tc>
        <w:tc>
          <w:tcPr>
            <w:tcW w:w="340" w:type="dxa"/>
            <w:vAlign w:val="bottom"/>
            <w:tcBorders>
              <w:right w:val="single" w:sz="8" w:color="0000EE"/>
            </w:tcBorders>
            <w:shd w:val="clear" w:color="auto" w:fill="0563C1"/>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5"/>
        </w:trPr>
        <w:tc>
          <w:tcPr>
            <w:tcW w:w="1380" w:type="dxa"/>
            <w:vAlign w:val="bottom"/>
          </w:tcPr>
          <w:p>
            <w:pPr>
              <w:ind w:left="120"/>
              <w:spacing w:after="0"/>
              <w:rPr>
                <w:sz w:val="20"/>
                <w:szCs w:val="20"/>
                <w:color w:val="auto"/>
              </w:rPr>
            </w:pPr>
            <w:r>
              <w:rPr>
                <w:rFonts w:ascii="Arial" w:cs="Arial" w:eastAsia="Arial" w:hAnsi="Arial"/>
                <w:sz w:val="18"/>
                <w:szCs w:val="18"/>
                <w:color w:val="auto"/>
              </w:rPr>
              <w:t>10.3.3</w:t>
            </w:r>
          </w:p>
        </w:tc>
        <w:tc>
          <w:tcPr>
            <w:tcW w:w="9840" w:type="dxa"/>
            <w:vAlign w:val="bottom"/>
            <w:tcBorders>
              <w:bottom w:val="single" w:sz="8" w:color="0563C1"/>
            </w:tcBorders>
            <w:gridSpan w:val="14"/>
          </w:tcPr>
          <w:p>
            <w:pPr>
              <w:spacing w:after="0"/>
              <w:rPr>
                <w:rFonts w:ascii="Arial" w:cs="Arial" w:eastAsia="Arial" w:hAnsi="Arial"/>
                <w:sz w:val="18"/>
                <w:szCs w:val="18"/>
                <w:color w:val="0563C1"/>
                <w:w w:val="94"/>
              </w:rPr>
            </w:pPr>
            <w:hyperlink r:id="rId328">
              <w:r>
                <w:rPr>
                  <w:rFonts w:ascii="Arial" w:cs="Arial" w:eastAsia="Arial" w:hAnsi="Arial"/>
                  <w:sz w:val="18"/>
                  <w:szCs w:val="18"/>
                  <w:color w:val="0563C1"/>
                  <w:w w:val="94"/>
                </w:rPr>
                <w:t>Amendment No. 2 to Amended and Restated Credit Agreement, dated July 7, 2020, by and among the Company, as borrower, the</w:t>
              </w:r>
            </w:hyperlink>
          </w:p>
        </w:tc>
        <w:tc>
          <w:tcPr>
            <w:tcW w:w="20" w:type="dxa"/>
            <w:vAlign w:val="bottom"/>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9840" w:type="dxa"/>
            <w:vAlign w:val="bottom"/>
            <w:tcBorders>
              <w:bottom w:val="single" w:sz="8" w:color="0563C1"/>
            </w:tcBorders>
            <w:gridSpan w:val="14"/>
          </w:tcPr>
          <w:p>
            <w:pPr>
              <w:spacing w:after="0" w:line="195" w:lineRule="exact"/>
              <w:rPr>
                <w:rFonts w:ascii="Arial" w:cs="Arial" w:eastAsia="Arial" w:hAnsi="Arial"/>
                <w:sz w:val="18"/>
                <w:szCs w:val="18"/>
                <w:color w:val="0563C1"/>
                <w:w w:val="95"/>
              </w:rPr>
            </w:pPr>
            <w:hyperlink r:id="rId328">
              <w:r>
                <w:rPr>
                  <w:rFonts w:ascii="Arial" w:cs="Arial" w:eastAsia="Arial" w:hAnsi="Arial"/>
                  <w:sz w:val="18"/>
                  <w:szCs w:val="18"/>
                  <w:color w:val="0563C1"/>
                  <w:w w:val="95"/>
                </w:rPr>
                <w:t>subsidiaries of the borrower party thereto from time to time, the lenders from time to time party thereto, and Alter Domus Products</w:t>
              </w:r>
            </w:hyperlink>
          </w:p>
        </w:tc>
        <w:tc>
          <w:tcPr>
            <w:tcW w:w="20" w:type="dxa"/>
            <w:vAlign w:val="bottom"/>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9860" w:type="dxa"/>
            <w:vAlign w:val="bottom"/>
            <w:gridSpan w:val="15"/>
          </w:tcPr>
          <w:p>
            <w:pPr>
              <w:spacing w:after="0" w:line="195" w:lineRule="exact"/>
              <w:rPr>
                <w:rFonts w:ascii="Arial" w:cs="Arial" w:eastAsia="Arial" w:hAnsi="Arial"/>
                <w:sz w:val="18"/>
                <w:szCs w:val="18"/>
                <w:color w:val="0563C1"/>
                <w:w w:val="92"/>
              </w:rPr>
            </w:pPr>
            <w:hyperlink r:id="rId328">
              <w:r>
                <w:rPr>
                  <w:rFonts w:ascii="Arial" w:cs="Arial" w:eastAsia="Arial" w:hAnsi="Arial"/>
                  <w:sz w:val="18"/>
                  <w:szCs w:val="18"/>
                  <w:color w:val="0563C1"/>
                  <w:w w:val="92"/>
                </w:rPr>
                <w:t>Corp., as administrative agent and collateral agent for the lenders (incorporated by reference to Exhibit 10.6 to the Quarterly Report on</w:t>
              </w:r>
            </w:hyperlink>
          </w:p>
        </w:tc>
      </w:tr>
      <w:tr>
        <w:trPr>
          <w:trHeight w:val="196"/>
        </w:trPr>
        <w:tc>
          <w:tcPr>
            <w:tcW w:w="1380" w:type="dxa"/>
            <w:vAlign w:val="bottom"/>
          </w:tcPr>
          <w:p>
            <w:pPr>
              <w:spacing w:after="0"/>
              <w:rPr>
                <w:sz w:val="17"/>
                <w:szCs w:val="17"/>
                <w:color w:val="auto"/>
              </w:rPr>
            </w:pPr>
          </w:p>
        </w:tc>
        <w:tc>
          <w:tcPr>
            <w:tcW w:w="7460" w:type="dxa"/>
            <w:vAlign w:val="bottom"/>
            <w:tcBorders>
              <w:top w:val="single" w:sz="8" w:color="0563C1"/>
            </w:tcBorders>
            <w:gridSpan w:val="11"/>
          </w:tcPr>
          <w:p>
            <w:pPr>
              <w:spacing w:after="0" w:line="195" w:lineRule="exact"/>
              <w:rPr>
                <w:rFonts w:ascii="Arial" w:cs="Arial" w:eastAsia="Arial" w:hAnsi="Arial"/>
                <w:sz w:val="18"/>
                <w:szCs w:val="18"/>
                <w:color w:val="0563C1"/>
              </w:rPr>
            </w:pPr>
            <w:hyperlink r:id="rId328">
              <w:r>
                <w:rPr>
                  <w:rFonts w:ascii="Arial" w:cs="Arial" w:eastAsia="Arial" w:hAnsi="Arial"/>
                  <w:sz w:val="18"/>
                  <w:szCs w:val="18"/>
                  <w:color w:val="0563C1"/>
                </w:rPr>
                <w:t>Form 10-Q for the quarter ended September 30, 2020, File No. 000-12255).</w:t>
              </w:r>
            </w:hyperlink>
          </w:p>
        </w:tc>
        <w:tc>
          <w:tcPr>
            <w:tcW w:w="420" w:type="dxa"/>
            <w:vAlign w:val="bottom"/>
            <w:tcBorders>
              <w:top w:val="single" w:sz="8" w:color="0563C1"/>
            </w:tcBorders>
          </w:tcPr>
          <w:p>
            <w:pPr>
              <w:spacing w:after="0"/>
              <w:rPr>
                <w:sz w:val="17"/>
                <w:szCs w:val="17"/>
                <w:color w:val="auto"/>
              </w:rPr>
            </w:pPr>
          </w:p>
        </w:tc>
        <w:tc>
          <w:tcPr>
            <w:tcW w:w="1740" w:type="dxa"/>
            <w:vAlign w:val="bottom"/>
            <w:tcBorders>
              <w:top w:val="single" w:sz="8" w:color="0563C1"/>
            </w:tcBorders>
          </w:tcPr>
          <w:p>
            <w:pPr>
              <w:spacing w:after="0"/>
              <w:rPr>
                <w:sz w:val="17"/>
                <w:szCs w:val="17"/>
                <w:color w:val="auto"/>
              </w:rPr>
            </w:pPr>
          </w:p>
        </w:tc>
        <w:tc>
          <w:tcPr>
            <w:tcW w:w="220" w:type="dxa"/>
            <w:vAlign w:val="bottom"/>
            <w:tcBorders>
              <w:top w:val="single" w:sz="8" w:color="0563C1"/>
            </w:tcBorders>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3660" w:type="dxa"/>
            <w:vAlign w:val="bottom"/>
            <w:gridSpan w:val="3"/>
            <w:shd w:val="clear" w:color="auto" w:fill="0563C1"/>
          </w:tcPr>
          <w:p>
            <w:pPr>
              <w:spacing w:after="0" w:line="20" w:lineRule="exact"/>
              <w:rPr>
                <w:sz w:val="1"/>
                <w:szCs w:val="1"/>
                <w:color w:val="auto"/>
              </w:rPr>
            </w:pPr>
          </w:p>
        </w:tc>
        <w:tc>
          <w:tcPr>
            <w:tcW w:w="1560" w:type="dxa"/>
            <w:vAlign w:val="bottom"/>
            <w:gridSpan w:val="2"/>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5"/>
        </w:trPr>
        <w:tc>
          <w:tcPr>
            <w:tcW w:w="1380" w:type="dxa"/>
            <w:vAlign w:val="bottom"/>
          </w:tcPr>
          <w:p>
            <w:pPr>
              <w:ind w:left="120"/>
              <w:spacing w:after="0"/>
              <w:rPr>
                <w:sz w:val="20"/>
                <w:szCs w:val="20"/>
                <w:color w:val="auto"/>
              </w:rPr>
            </w:pPr>
            <w:r>
              <w:rPr>
                <w:rFonts w:ascii="Arial" w:cs="Arial" w:eastAsia="Arial" w:hAnsi="Arial"/>
                <w:sz w:val="18"/>
                <w:szCs w:val="18"/>
                <w:color w:val="auto"/>
              </w:rPr>
              <w:t>10.4.1†</w:t>
            </w:r>
          </w:p>
        </w:tc>
        <w:tc>
          <w:tcPr>
            <w:tcW w:w="7460" w:type="dxa"/>
            <w:vAlign w:val="bottom"/>
            <w:tcBorders>
              <w:bottom w:val="single" w:sz="8" w:color="0563C1"/>
            </w:tcBorders>
            <w:gridSpan w:val="11"/>
          </w:tcPr>
          <w:p>
            <w:pPr>
              <w:spacing w:after="0"/>
              <w:rPr>
                <w:rFonts w:ascii="Arial" w:cs="Arial" w:eastAsia="Arial" w:hAnsi="Arial"/>
                <w:sz w:val="18"/>
                <w:szCs w:val="18"/>
                <w:color w:val="0563C1"/>
                <w:w w:val="91"/>
              </w:rPr>
            </w:pPr>
            <w:hyperlink r:id="rId329">
              <w:r>
                <w:rPr>
                  <w:rFonts w:ascii="Arial" w:cs="Arial" w:eastAsia="Arial" w:hAnsi="Arial"/>
                  <w:sz w:val="18"/>
                  <w:szCs w:val="18"/>
                  <w:color w:val="0563C1"/>
                  <w:w w:val="91"/>
                </w:rPr>
                <w:t>Loan and Security Agreement, dated as of February 13, 2014, among the Company, as administrative</w:t>
              </w:r>
            </w:hyperlink>
          </w:p>
        </w:tc>
        <w:tc>
          <w:tcPr>
            <w:tcW w:w="2400" w:type="dxa"/>
            <w:vAlign w:val="bottom"/>
            <w:tcBorders>
              <w:bottom w:val="single" w:sz="8" w:color="0563C1"/>
            </w:tcBorders>
            <w:gridSpan w:val="4"/>
          </w:tcPr>
          <w:p>
            <w:pPr>
              <w:ind w:left="240"/>
              <w:spacing w:after="0"/>
              <w:rPr>
                <w:rFonts w:ascii="Arial" w:cs="Arial" w:eastAsia="Arial" w:hAnsi="Arial"/>
                <w:sz w:val="18"/>
                <w:szCs w:val="18"/>
                <w:color w:val="0563C1"/>
                <w:w w:val="90"/>
              </w:rPr>
            </w:pPr>
            <w:hyperlink r:id="rId329">
              <w:r>
                <w:rPr>
                  <w:rFonts w:ascii="Arial" w:cs="Arial" w:eastAsia="Arial" w:hAnsi="Arial"/>
                  <w:sz w:val="18"/>
                  <w:szCs w:val="18"/>
                  <w:color w:val="0563C1"/>
                  <w:w w:val="90"/>
                </w:rPr>
                <w:t>borrower, the other borrowers</w:t>
              </w:r>
            </w:hyperlink>
          </w:p>
        </w:tc>
      </w:tr>
      <w:tr>
        <w:trPr>
          <w:trHeight w:val="196"/>
        </w:trPr>
        <w:tc>
          <w:tcPr>
            <w:tcW w:w="1380" w:type="dxa"/>
            <w:vAlign w:val="bottom"/>
          </w:tcPr>
          <w:p>
            <w:pPr>
              <w:spacing w:after="0"/>
              <w:rPr>
                <w:sz w:val="17"/>
                <w:szCs w:val="17"/>
                <w:color w:val="auto"/>
              </w:rPr>
            </w:pPr>
          </w:p>
        </w:tc>
        <w:tc>
          <w:tcPr>
            <w:tcW w:w="9860" w:type="dxa"/>
            <w:vAlign w:val="bottom"/>
            <w:tcBorders>
              <w:bottom w:val="single" w:sz="8" w:color="0563C1"/>
            </w:tcBorders>
            <w:gridSpan w:val="15"/>
          </w:tcPr>
          <w:p>
            <w:pPr>
              <w:spacing w:after="0" w:line="195" w:lineRule="exact"/>
              <w:rPr>
                <w:rFonts w:ascii="Arial" w:cs="Arial" w:eastAsia="Arial" w:hAnsi="Arial"/>
                <w:sz w:val="18"/>
                <w:szCs w:val="18"/>
                <w:color w:val="0563C1"/>
                <w:w w:val="92"/>
              </w:rPr>
            </w:pPr>
            <w:hyperlink r:id="rId329">
              <w:r>
                <w:rPr>
                  <w:rFonts w:ascii="Arial" w:cs="Arial" w:eastAsia="Arial" w:hAnsi="Arial"/>
                  <w:sz w:val="18"/>
                  <w:szCs w:val="18"/>
                  <w:color w:val="0563C1"/>
                  <w:w w:val="92"/>
                </w:rPr>
                <w:t>named therein, the guarantors named therein, certain financial institutions, as lenders, and RBS Citizens Business Capital a division of</w:t>
              </w:r>
            </w:hyperlink>
          </w:p>
        </w:tc>
      </w:tr>
      <w:tr>
        <w:trPr>
          <w:trHeight w:val="196"/>
        </w:trPr>
        <w:tc>
          <w:tcPr>
            <w:tcW w:w="1380" w:type="dxa"/>
            <w:vAlign w:val="bottom"/>
          </w:tcPr>
          <w:p>
            <w:pPr>
              <w:spacing w:after="0"/>
              <w:rPr>
                <w:sz w:val="17"/>
                <w:szCs w:val="17"/>
                <w:color w:val="auto"/>
              </w:rPr>
            </w:pPr>
          </w:p>
        </w:tc>
        <w:tc>
          <w:tcPr>
            <w:tcW w:w="9840" w:type="dxa"/>
            <w:vAlign w:val="bottom"/>
            <w:tcBorders>
              <w:bottom w:val="single" w:sz="8" w:color="0563C1"/>
            </w:tcBorders>
            <w:gridSpan w:val="14"/>
          </w:tcPr>
          <w:p>
            <w:pPr>
              <w:spacing w:after="0" w:line="195" w:lineRule="exact"/>
              <w:rPr>
                <w:rFonts w:ascii="Arial" w:cs="Arial" w:eastAsia="Arial" w:hAnsi="Arial"/>
                <w:sz w:val="18"/>
                <w:szCs w:val="18"/>
                <w:color w:val="0563C1"/>
                <w:w w:val="92"/>
              </w:rPr>
            </w:pPr>
            <w:hyperlink r:id="rId329">
              <w:r>
                <w:rPr>
                  <w:rFonts w:ascii="Arial" w:cs="Arial" w:eastAsia="Arial" w:hAnsi="Arial"/>
                  <w:sz w:val="18"/>
                  <w:szCs w:val="18"/>
                  <w:color w:val="0563C1"/>
                  <w:w w:val="92"/>
                </w:rPr>
                <w:t>RBS Asset Finance, Inc., a subsidiary of RBS Citizens, N.A., as agent, and RBS Citizens, N.A., Merrill Lynch, Pierce, Fenner &amp; Smith</w:t>
              </w:r>
            </w:hyperlink>
          </w:p>
        </w:tc>
        <w:tc>
          <w:tcPr>
            <w:tcW w:w="20" w:type="dxa"/>
            <w:vAlign w:val="bottom"/>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9860" w:type="dxa"/>
            <w:vAlign w:val="bottom"/>
            <w:tcBorders>
              <w:bottom w:val="single" w:sz="8" w:color="0563C1"/>
            </w:tcBorders>
            <w:gridSpan w:val="15"/>
          </w:tcPr>
          <w:p>
            <w:pPr>
              <w:spacing w:after="0" w:line="195" w:lineRule="exact"/>
              <w:rPr>
                <w:rFonts w:ascii="Arial" w:cs="Arial" w:eastAsia="Arial" w:hAnsi="Arial"/>
                <w:sz w:val="18"/>
                <w:szCs w:val="18"/>
                <w:color w:val="0563C1"/>
                <w:w w:val="93"/>
              </w:rPr>
            </w:pPr>
            <w:hyperlink r:id="rId329">
              <w:r>
                <w:rPr>
                  <w:rFonts w:ascii="Arial" w:cs="Arial" w:eastAsia="Arial" w:hAnsi="Arial"/>
                  <w:sz w:val="18"/>
                  <w:szCs w:val="18"/>
                  <w:color w:val="0563C1"/>
                  <w:w w:val="93"/>
                </w:rPr>
                <w:t>and CIT Finance LLC, as joint lead arrangers and joint bookrunners (incorporated by reference to Exhibit 10.11 to Annual Report on</w:t>
              </w:r>
            </w:hyperlink>
          </w:p>
        </w:tc>
      </w:tr>
      <w:tr>
        <w:trPr>
          <w:trHeight w:val="196"/>
        </w:trPr>
        <w:tc>
          <w:tcPr>
            <w:tcW w:w="1380" w:type="dxa"/>
            <w:vAlign w:val="bottom"/>
          </w:tcPr>
          <w:p>
            <w:pPr>
              <w:spacing w:after="0"/>
              <w:rPr>
                <w:sz w:val="17"/>
                <w:szCs w:val="17"/>
                <w:color w:val="auto"/>
              </w:rPr>
            </w:pPr>
          </w:p>
        </w:tc>
        <w:tc>
          <w:tcPr>
            <w:tcW w:w="5220" w:type="dxa"/>
            <w:vAlign w:val="bottom"/>
            <w:tcBorders>
              <w:bottom w:val="single" w:sz="8" w:color="0563C1"/>
            </w:tcBorders>
            <w:gridSpan w:val="5"/>
          </w:tcPr>
          <w:p>
            <w:pPr>
              <w:spacing w:after="0" w:line="195" w:lineRule="exact"/>
              <w:rPr>
                <w:rFonts w:ascii="Arial" w:cs="Arial" w:eastAsia="Arial" w:hAnsi="Arial"/>
                <w:sz w:val="18"/>
                <w:szCs w:val="18"/>
                <w:color w:val="0563C1"/>
                <w:w w:val="90"/>
              </w:rPr>
            </w:pPr>
            <w:hyperlink r:id="rId329">
              <w:r>
                <w:rPr>
                  <w:rFonts w:ascii="Arial" w:cs="Arial" w:eastAsia="Arial" w:hAnsi="Arial"/>
                  <w:sz w:val="18"/>
                  <w:szCs w:val="18"/>
                  <w:color w:val="0563C1"/>
                  <w:w w:val="90"/>
                </w:rPr>
                <w:t>Form 10-K for the year ended December 31, 2013, File No. 000-12255).</w:t>
              </w:r>
            </w:hyperlink>
          </w:p>
        </w:tc>
        <w:tc>
          <w:tcPr>
            <w:tcW w:w="2240" w:type="dxa"/>
            <w:vAlign w:val="bottom"/>
            <w:gridSpan w:val="6"/>
          </w:tcPr>
          <w:p>
            <w:pPr>
              <w:spacing w:after="0"/>
              <w:rPr>
                <w:sz w:val="17"/>
                <w:szCs w:val="17"/>
                <w:color w:val="auto"/>
              </w:rPr>
            </w:pPr>
          </w:p>
        </w:tc>
        <w:tc>
          <w:tcPr>
            <w:tcW w:w="4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71"/>
        </w:trPr>
        <w:tc>
          <w:tcPr>
            <w:tcW w:w="1380" w:type="dxa"/>
            <w:vAlign w:val="bottom"/>
          </w:tcPr>
          <w:p>
            <w:pPr>
              <w:ind w:left="120"/>
              <w:spacing w:after="0"/>
              <w:rPr>
                <w:sz w:val="20"/>
                <w:szCs w:val="20"/>
                <w:color w:val="auto"/>
              </w:rPr>
            </w:pPr>
            <w:r>
              <w:rPr>
                <w:rFonts w:ascii="Arial" w:cs="Arial" w:eastAsia="Arial" w:hAnsi="Arial"/>
                <w:sz w:val="18"/>
                <w:szCs w:val="18"/>
                <w:color w:val="auto"/>
              </w:rPr>
              <w:t>10.4.2</w:t>
            </w:r>
          </w:p>
        </w:tc>
        <w:tc>
          <w:tcPr>
            <w:tcW w:w="9860" w:type="dxa"/>
            <w:vAlign w:val="bottom"/>
            <w:tcBorders>
              <w:bottom w:val="single" w:sz="8" w:color="0563C1"/>
            </w:tcBorders>
            <w:gridSpan w:val="15"/>
          </w:tcPr>
          <w:p>
            <w:pPr>
              <w:spacing w:after="0"/>
              <w:rPr>
                <w:rFonts w:ascii="Arial" w:cs="Arial" w:eastAsia="Arial" w:hAnsi="Arial"/>
                <w:sz w:val="18"/>
                <w:szCs w:val="18"/>
                <w:color w:val="0563C1"/>
                <w:w w:val="95"/>
              </w:rPr>
            </w:pPr>
            <w:hyperlink r:id="rId330">
              <w:r>
                <w:rPr>
                  <w:rFonts w:ascii="Arial" w:cs="Arial" w:eastAsia="Arial" w:hAnsi="Arial"/>
                  <w:sz w:val="18"/>
                  <w:szCs w:val="18"/>
                  <w:color w:val="0563C1"/>
                  <w:w w:val="95"/>
                </w:rPr>
                <w:t>Amendment No. 1 to Loan and Security Agreement, dated as of September 23, 2015, by and among the Company, certain of the</w:t>
              </w:r>
            </w:hyperlink>
          </w:p>
        </w:tc>
      </w:tr>
      <w:tr>
        <w:trPr>
          <w:trHeight w:val="196"/>
        </w:trPr>
        <w:tc>
          <w:tcPr>
            <w:tcW w:w="1380" w:type="dxa"/>
            <w:vAlign w:val="bottom"/>
          </w:tcPr>
          <w:p>
            <w:pPr>
              <w:spacing w:after="0"/>
              <w:rPr>
                <w:sz w:val="17"/>
                <w:szCs w:val="17"/>
                <w:color w:val="auto"/>
              </w:rPr>
            </w:pPr>
          </w:p>
        </w:tc>
        <w:tc>
          <w:tcPr>
            <w:tcW w:w="9860" w:type="dxa"/>
            <w:vAlign w:val="bottom"/>
            <w:gridSpan w:val="15"/>
          </w:tcPr>
          <w:p>
            <w:pPr>
              <w:spacing w:after="0" w:line="195" w:lineRule="exact"/>
              <w:rPr>
                <w:rFonts w:ascii="Arial" w:cs="Arial" w:eastAsia="Arial" w:hAnsi="Arial"/>
                <w:sz w:val="18"/>
                <w:szCs w:val="18"/>
                <w:color w:val="0563C1"/>
                <w:w w:val="90"/>
              </w:rPr>
            </w:pPr>
            <w:hyperlink r:id="rId330">
              <w:r>
                <w:rPr>
                  <w:rFonts w:ascii="Arial" w:cs="Arial" w:eastAsia="Arial" w:hAnsi="Arial"/>
                  <w:sz w:val="18"/>
                  <w:szCs w:val="18"/>
                  <w:color w:val="0563C1"/>
                  <w:w w:val="90"/>
                </w:rPr>
                <w:t>Company’s subsidiaries party thereto, the lenders party thereto and RBS Citizens Business Capital, as agent (incorporated by reference</w:t>
              </w:r>
            </w:hyperlink>
          </w:p>
        </w:tc>
      </w:tr>
      <w:tr>
        <w:trPr>
          <w:trHeight w:val="196"/>
        </w:trPr>
        <w:tc>
          <w:tcPr>
            <w:tcW w:w="1380" w:type="dxa"/>
            <w:vAlign w:val="bottom"/>
          </w:tcPr>
          <w:p>
            <w:pPr>
              <w:spacing w:after="0"/>
              <w:rPr>
                <w:sz w:val="17"/>
                <w:szCs w:val="17"/>
                <w:color w:val="auto"/>
              </w:rPr>
            </w:pPr>
          </w:p>
        </w:tc>
        <w:tc>
          <w:tcPr>
            <w:tcW w:w="7120" w:type="dxa"/>
            <w:vAlign w:val="bottom"/>
            <w:tcBorders>
              <w:top w:val="single" w:sz="8" w:color="0563C1"/>
              <w:bottom w:val="single" w:sz="8" w:color="0563C1"/>
            </w:tcBorders>
            <w:gridSpan w:val="10"/>
          </w:tcPr>
          <w:p>
            <w:pPr>
              <w:spacing w:after="0" w:line="195" w:lineRule="exact"/>
              <w:rPr>
                <w:rFonts w:ascii="Arial" w:cs="Arial" w:eastAsia="Arial" w:hAnsi="Arial"/>
                <w:sz w:val="18"/>
                <w:szCs w:val="18"/>
                <w:color w:val="0563C1"/>
                <w:w w:val="91"/>
              </w:rPr>
            </w:pPr>
            <w:hyperlink r:id="rId330">
              <w:r>
                <w:rPr>
                  <w:rFonts w:ascii="Arial" w:cs="Arial" w:eastAsia="Arial" w:hAnsi="Arial"/>
                  <w:sz w:val="18"/>
                  <w:szCs w:val="18"/>
                  <w:color w:val="0563C1"/>
                  <w:w w:val="91"/>
                </w:rPr>
                <w:t>to Exhibit 10.2 to Current Report on Form 8-K, filed on September 25, 2015, File No. 000-12255).</w:t>
              </w:r>
            </w:hyperlink>
          </w:p>
        </w:tc>
        <w:tc>
          <w:tcPr>
            <w:tcW w:w="340" w:type="dxa"/>
            <w:vAlign w:val="bottom"/>
            <w:tcBorders>
              <w:top w:val="single" w:sz="8" w:color="0563C1"/>
            </w:tcBorders>
          </w:tcPr>
          <w:p>
            <w:pPr>
              <w:spacing w:after="0"/>
              <w:rPr>
                <w:sz w:val="17"/>
                <w:szCs w:val="17"/>
                <w:color w:val="auto"/>
              </w:rPr>
            </w:pPr>
          </w:p>
        </w:tc>
        <w:tc>
          <w:tcPr>
            <w:tcW w:w="420" w:type="dxa"/>
            <w:vAlign w:val="bottom"/>
            <w:tcBorders>
              <w:top w:val="single" w:sz="8" w:color="0563C1"/>
            </w:tcBorders>
          </w:tcPr>
          <w:p>
            <w:pPr>
              <w:spacing w:after="0"/>
              <w:rPr>
                <w:sz w:val="17"/>
                <w:szCs w:val="17"/>
                <w:color w:val="auto"/>
              </w:rPr>
            </w:pPr>
          </w:p>
        </w:tc>
        <w:tc>
          <w:tcPr>
            <w:tcW w:w="1740" w:type="dxa"/>
            <w:vAlign w:val="bottom"/>
            <w:tcBorders>
              <w:top w:val="single" w:sz="8" w:color="0563C1"/>
            </w:tcBorders>
          </w:tcPr>
          <w:p>
            <w:pPr>
              <w:spacing w:after="0"/>
              <w:rPr>
                <w:sz w:val="17"/>
                <w:szCs w:val="17"/>
                <w:color w:val="auto"/>
              </w:rPr>
            </w:pPr>
          </w:p>
        </w:tc>
        <w:tc>
          <w:tcPr>
            <w:tcW w:w="220" w:type="dxa"/>
            <w:vAlign w:val="bottom"/>
            <w:tcBorders>
              <w:top w:val="single" w:sz="8" w:color="0563C1"/>
            </w:tcBorders>
          </w:tcPr>
          <w:p>
            <w:pPr>
              <w:spacing w:after="0"/>
              <w:rPr>
                <w:sz w:val="17"/>
                <w:szCs w:val="17"/>
                <w:color w:val="auto"/>
              </w:rPr>
            </w:pPr>
          </w:p>
        </w:tc>
        <w:tc>
          <w:tcPr>
            <w:tcW w:w="20" w:type="dxa"/>
            <w:vAlign w:val="bottom"/>
          </w:tcPr>
          <w:p>
            <w:pPr>
              <w:spacing w:after="0"/>
              <w:rPr>
                <w:sz w:val="17"/>
                <w:szCs w:val="17"/>
                <w:color w:val="auto"/>
              </w:rPr>
            </w:pPr>
          </w:p>
        </w:tc>
      </w:tr>
      <w:tr>
        <w:trPr>
          <w:trHeight w:val="371"/>
        </w:trPr>
        <w:tc>
          <w:tcPr>
            <w:tcW w:w="1380" w:type="dxa"/>
            <w:vAlign w:val="bottom"/>
          </w:tcPr>
          <w:p>
            <w:pPr>
              <w:ind w:left="120"/>
              <w:spacing w:after="0"/>
              <w:rPr>
                <w:sz w:val="20"/>
                <w:szCs w:val="20"/>
                <w:color w:val="auto"/>
              </w:rPr>
            </w:pPr>
            <w:r>
              <w:rPr>
                <w:rFonts w:ascii="Arial" w:cs="Arial" w:eastAsia="Arial" w:hAnsi="Arial"/>
                <w:sz w:val="18"/>
                <w:szCs w:val="18"/>
                <w:color w:val="auto"/>
              </w:rPr>
              <w:t>10.4.3</w:t>
            </w:r>
          </w:p>
        </w:tc>
        <w:tc>
          <w:tcPr>
            <w:tcW w:w="9840" w:type="dxa"/>
            <w:vAlign w:val="bottom"/>
            <w:tcBorders>
              <w:bottom w:val="single" w:sz="8" w:color="0563C1"/>
            </w:tcBorders>
            <w:gridSpan w:val="14"/>
          </w:tcPr>
          <w:p>
            <w:pPr>
              <w:spacing w:after="0"/>
              <w:rPr>
                <w:rFonts w:ascii="Arial" w:cs="Arial" w:eastAsia="Arial" w:hAnsi="Arial"/>
                <w:sz w:val="18"/>
                <w:szCs w:val="18"/>
                <w:color w:val="0563C1"/>
                <w:w w:val="91"/>
              </w:rPr>
            </w:pPr>
            <w:hyperlink r:id="rId331">
              <w:r>
                <w:rPr>
                  <w:rFonts w:ascii="Arial" w:cs="Arial" w:eastAsia="Arial" w:hAnsi="Arial"/>
                  <w:sz w:val="18"/>
                  <w:szCs w:val="18"/>
                  <w:color w:val="0563C1"/>
                  <w:w w:val="91"/>
                </w:rPr>
                <w:t>Amendment No. 2 to Loan and Security Agreement, dated as of June 28, 2016, by and among the Company, certain of the Company’s</w:t>
              </w:r>
            </w:hyperlink>
          </w:p>
        </w:tc>
        <w:tc>
          <w:tcPr>
            <w:tcW w:w="20" w:type="dxa"/>
            <w:vAlign w:val="bottom"/>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9860" w:type="dxa"/>
            <w:vAlign w:val="bottom"/>
            <w:tcBorders>
              <w:bottom w:val="single" w:sz="8" w:color="0563C1"/>
            </w:tcBorders>
            <w:gridSpan w:val="15"/>
          </w:tcPr>
          <w:p>
            <w:pPr>
              <w:spacing w:after="0" w:line="195" w:lineRule="exact"/>
              <w:rPr>
                <w:rFonts w:ascii="Arial" w:cs="Arial" w:eastAsia="Arial" w:hAnsi="Arial"/>
                <w:sz w:val="18"/>
                <w:szCs w:val="18"/>
                <w:color w:val="0563C1"/>
                <w:w w:val="91"/>
              </w:rPr>
            </w:pPr>
            <w:hyperlink r:id="rId331">
              <w:r>
                <w:rPr>
                  <w:rFonts w:ascii="Arial" w:cs="Arial" w:eastAsia="Arial" w:hAnsi="Arial"/>
                  <w:sz w:val="18"/>
                  <w:szCs w:val="18"/>
                  <w:color w:val="0563C1"/>
                  <w:w w:val="91"/>
                </w:rPr>
                <w:t>subsidiaries party thereto, the lenders party thereto and Citizens Business Capital as agent (incorporated by reference to Exhibit 10.1 to</w:t>
              </w:r>
            </w:hyperlink>
          </w:p>
        </w:tc>
      </w:tr>
      <w:tr>
        <w:trPr>
          <w:trHeight w:val="196"/>
        </w:trPr>
        <w:tc>
          <w:tcPr>
            <w:tcW w:w="1380" w:type="dxa"/>
            <w:vAlign w:val="bottom"/>
          </w:tcPr>
          <w:p>
            <w:pPr>
              <w:spacing w:after="0"/>
              <w:rPr>
                <w:sz w:val="17"/>
                <w:szCs w:val="17"/>
                <w:color w:val="auto"/>
              </w:rPr>
            </w:pPr>
          </w:p>
        </w:tc>
        <w:tc>
          <w:tcPr>
            <w:tcW w:w="7460" w:type="dxa"/>
            <w:vAlign w:val="bottom"/>
            <w:gridSpan w:val="11"/>
          </w:tcPr>
          <w:p>
            <w:pPr>
              <w:spacing w:after="0" w:line="195" w:lineRule="exact"/>
              <w:rPr>
                <w:rFonts w:ascii="Arial" w:cs="Arial" w:eastAsia="Arial" w:hAnsi="Arial"/>
                <w:sz w:val="18"/>
                <w:szCs w:val="18"/>
                <w:color w:val="0563C1"/>
              </w:rPr>
            </w:pPr>
            <w:hyperlink r:id="rId331">
              <w:r>
                <w:rPr>
                  <w:rFonts w:ascii="Arial" w:cs="Arial" w:eastAsia="Arial" w:hAnsi="Arial"/>
                  <w:sz w:val="18"/>
                  <w:szCs w:val="18"/>
                  <w:color w:val="0563C1"/>
                </w:rPr>
                <w:t>Current Report on Form 8-K, filed on June 30, 2016, File No. 000-12255).</w:t>
              </w:r>
            </w:hyperlink>
          </w:p>
        </w:tc>
        <w:tc>
          <w:tcPr>
            <w:tcW w:w="4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3660" w:type="dxa"/>
            <w:vAlign w:val="bottom"/>
            <w:gridSpan w:val="3"/>
            <w:shd w:val="clear" w:color="auto" w:fill="0563C1"/>
          </w:tcPr>
          <w:p>
            <w:pPr>
              <w:spacing w:after="0" w:line="20" w:lineRule="exact"/>
              <w:rPr>
                <w:sz w:val="1"/>
                <w:szCs w:val="1"/>
                <w:color w:val="auto"/>
              </w:rPr>
            </w:pPr>
          </w:p>
        </w:tc>
        <w:tc>
          <w:tcPr>
            <w:tcW w:w="1700" w:type="dxa"/>
            <w:vAlign w:val="bottom"/>
            <w:gridSpan w:val="3"/>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380" w:type="dxa"/>
            <w:vAlign w:val="bottom"/>
          </w:tcPr>
          <w:p>
            <w:pPr>
              <w:ind w:left="120"/>
              <w:spacing w:after="0"/>
              <w:rPr>
                <w:sz w:val="20"/>
                <w:szCs w:val="20"/>
                <w:color w:val="auto"/>
              </w:rPr>
            </w:pPr>
            <w:r>
              <w:rPr>
                <w:rFonts w:ascii="Arial" w:cs="Arial" w:eastAsia="Arial" w:hAnsi="Arial"/>
                <w:sz w:val="18"/>
                <w:szCs w:val="18"/>
                <w:color w:val="auto"/>
              </w:rPr>
              <w:t>10.4.4</w:t>
            </w:r>
          </w:p>
        </w:tc>
        <w:tc>
          <w:tcPr>
            <w:tcW w:w="9860" w:type="dxa"/>
            <w:vAlign w:val="bottom"/>
            <w:gridSpan w:val="15"/>
          </w:tcPr>
          <w:p>
            <w:pPr>
              <w:spacing w:after="0"/>
              <w:rPr>
                <w:rFonts w:ascii="Arial" w:cs="Arial" w:eastAsia="Arial" w:hAnsi="Arial"/>
                <w:sz w:val="18"/>
                <w:szCs w:val="18"/>
                <w:color w:val="0563C1"/>
                <w:w w:val="92"/>
              </w:rPr>
            </w:pPr>
            <w:hyperlink r:id="rId332">
              <w:r>
                <w:rPr>
                  <w:rFonts w:ascii="Arial" w:cs="Arial" w:eastAsia="Arial" w:hAnsi="Arial"/>
                  <w:sz w:val="18"/>
                  <w:szCs w:val="18"/>
                  <w:color w:val="0563C1"/>
                  <w:w w:val="92"/>
                </w:rPr>
                <w:t>Amendment No. 3 to Loan and Security Agreement by and among the Company, certain of the Company’s subsidiaries party thereto,</w:t>
              </w:r>
            </w:hyperlink>
          </w:p>
        </w:tc>
      </w:tr>
      <w:tr>
        <w:trPr>
          <w:trHeight w:val="196"/>
        </w:trPr>
        <w:tc>
          <w:tcPr>
            <w:tcW w:w="1380" w:type="dxa"/>
            <w:vAlign w:val="bottom"/>
          </w:tcPr>
          <w:p>
            <w:pPr>
              <w:spacing w:after="0"/>
              <w:rPr>
                <w:sz w:val="17"/>
                <w:szCs w:val="17"/>
                <w:color w:val="auto"/>
              </w:rPr>
            </w:pPr>
          </w:p>
        </w:tc>
        <w:tc>
          <w:tcPr>
            <w:tcW w:w="9840" w:type="dxa"/>
            <w:vAlign w:val="bottom"/>
            <w:tcBorders>
              <w:top w:val="single" w:sz="8" w:color="0563C1"/>
              <w:bottom w:val="single" w:sz="8" w:color="0563C1"/>
            </w:tcBorders>
            <w:gridSpan w:val="14"/>
          </w:tcPr>
          <w:p>
            <w:pPr>
              <w:spacing w:after="0" w:line="195" w:lineRule="exact"/>
              <w:rPr>
                <w:rFonts w:ascii="Arial" w:cs="Arial" w:eastAsia="Arial" w:hAnsi="Arial"/>
                <w:sz w:val="18"/>
                <w:szCs w:val="18"/>
                <w:color w:val="0563C1"/>
                <w:w w:val="90"/>
              </w:rPr>
            </w:pPr>
            <w:hyperlink r:id="rId332">
              <w:r>
                <w:rPr>
                  <w:rFonts w:ascii="Arial" w:cs="Arial" w:eastAsia="Arial" w:hAnsi="Arial"/>
                  <w:sz w:val="18"/>
                  <w:szCs w:val="18"/>
                  <w:color w:val="0563C1"/>
                  <w:w w:val="90"/>
                </w:rPr>
                <w:t>the lenders party thereto and Citizens Business Capital as agent (incorporated by reference to Exhibit 10.2 to Current Report on Form 8-</w:t>
              </w:r>
            </w:hyperlink>
          </w:p>
        </w:tc>
        <w:tc>
          <w:tcPr>
            <w:tcW w:w="20" w:type="dxa"/>
            <w:vAlign w:val="bottom"/>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7460" w:type="dxa"/>
            <w:vAlign w:val="bottom"/>
            <w:gridSpan w:val="11"/>
          </w:tcPr>
          <w:p>
            <w:pPr>
              <w:spacing w:after="0" w:line="195" w:lineRule="exact"/>
              <w:rPr>
                <w:rFonts w:ascii="Arial" w:cs="Arial" w:eastAsia="Arial" w:hAnsi="Arial"/>
                <w:sz w:val="18"/>
                <w:szCs w:val="18"/>
                <w:color w:val="0563C1"/>
              </w:rPr>
            </w:pPr>
            <w:hyperlink r:id="rId332">
              <w:r>
                <w:rPr>
                  <w:rFonts w:ascii="Arial" w:cs="Arial" w:eastAsia="Arial" w:hAnsi="Arial"/>
                  <w:sz w:val="18"/>
                  <w:szCs w:val="18"/>
                  <w:color w:val="0563C1"/>
                </w:rPr>
                <w:t>K, filed on January 31, 2018, File No. 000-12255).</w:t>
              </w:r>
            </w:hyperlink>
          </w:p>
        </w:tc>
        <w:tc>
          <w:tcPr>
            <w:tcW w:w="4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3660" w:type="dxa"/>
            <w:vAlign w:val="bottom"/>
            <w:gridSpan w:val="3"/>
            <w:shd w:val="clear" w:color="auto" w:fill="0563C1"/>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20" w:type="dxa"/>
            <w:vAlign w:val="bottom"/>
            <w:gridSpan w:val="7"/>
          </w:tcPr>
          <w:p>
            <w:pPr>
              <w:spacing w:after="0" w:line="20" w:lineRule="exact"/>
              <w:rPr>
                <w:sz w:val="1"/>
                <w:szCs w:val="1"/>
                <w:color w:val="auto"/>
              </w:rPr>
            </w:pPr>
          </w:p>
        </w:tc>
      </w:tr>
      <w:tr>
        <w:trPr>
          <w:trHeight w:val="371"/>
        </w:trPr>
        <w:tc>
          <w:tcPr>
            <w:tcW w:w="1380" w:type="dxa"/>
            <w:vAlign w:val="bottom"/>
          </w:tcPr>
          <w:p>
            <w:pPr>
              <w:ind w:left="120"/>
              <w:spacing w:after="0"/>
              <w:rPr>
                <w:sz w:val="20"/>
                <w:szCs w:val="20"/>
                <w:color w:val="auto"/>
              </w:rPr>
            </w:pPr>
            <w:r>
              <w:rPr>
                <w:rFonts w:ascii="Arial" w:cs="Arial" w:eastAsia="Arial" w:hAnsi="Arial"/>
                <w:sz w:val="18"/>
                <w:szCs w:val="18"/>
                <w:color w:val="auto"/>
              </w:rPr>
              <w:t>10.4.5</w:t>
            </w:r>
          </w:p>
        </w:tc>
        <w:tc>
          <w:tcPr>
            <w:tcW w:w="9860" w:type="dxa"/>
            <w:vAlign w:val="bottom"/>
            <w:gridSpan w:val="15"/>
          </w:tcPr>
          <w:p>
            <w:pPr>
              <w:spacing w:after="0"/>
              <w:rPr>
                <w:rFonts w:ascii="Arial" w:cs="Arial" w:eastAsia="Arial" w:hAnsi="Arial"/>
                <w:sz w:val="18"/>
                <w:szCs w:val="18"/>
                <w:color w:val="0563C1"/>
                <w:w w:val="92"/>
              </w:rPr>
            </w:pPr>
            <w:hyperlink r:id="rId333">
              <w:r>
                <w:rPr>
                  <w:rFonts w:ascii="Arial" w:cs="Arial" w:eastAsia="Arial" w:hAnsi="Arial"/>
                  <w:sz w:val="18"/>
                  <w:szCs w:val="18"/>
                  <w:color w:val="0563C1"/>
                  <w:w w:val="92"/>
                </w:rPr>
                <w:t>Amendment No. 5 to Loan and Security Agreement by and among the Company, certain of the Company’s subsidiaries party thereto,</w:t>
              </w:r>
            </w:hyperlink>
          </w:p>
        </w:tc>
      </w:tr>
      <w:tr>
        <w:trPr>
          <w:trHeight w:val="196"/>
        </w:trPr>
        <w:tc>
          <w:tcPr>
            <w:tcW w:w="1380" w:type="dxa"/>
            <w:vAlign w:val="bottom"/>
          </w:tcPr>
          <w:p>
            <w:pPr>
              <w:spacing w:after="0"/>
              <w:rPr>
                <w:sz w:val="17"/>
                <w:szCs w:val="17"/>
                <w:color w:val="auto"/>
              </w:rPr>
            </w:pPr>
          </w:p>
        </w:tc>
        <w:tc>
          <w:tcPr>
            <w:tcW w:w="7460" w:type="dxa"/>
            <w:vAlign w:val="bottom"/>
            <w:tcBorders>
              <w:top w:val="single" w:sz="8" w:color="0563C1"/>
            </w:tcBorders>
            <w:gridSpan w:val="11"/>
          </w:tcPr>
          <w:p>
            <w:pPr>
              <w:spacing w:after="0" w:line="195" w:lineRule="exact"/>
              <w:rPr>
                <w:rFonts w:ascii="Arial" w:cs="Arial" w:eastAsia="Arial" w:hAnsi="Arial"/>
                <w:sz w:val="18"/>
                <w:szCs w:val="18"/>
                <w:color w:val="0563C1"/>
              </w:rPr>
            </w:pPr>
            <w:hyperlink r:id="rId333">
              <w:r>
                <w:rPr>
                  <w:rFonts w:ascii="Arial" w:cs="Arial" w:eastAsia="Arial" w:hAnsi="Arial"/>
                  <w:sz w:val="18"/>
                  <w:szCs w:val="18"/>
                  <w:color w:val="0563C1"/>
                </w:rPr>
                <w:t>the lenders party thereto and Citizens Business Capital as agent (incorporated by</w:t>
              </w:r>
            </w:hyperlink>
          </w:p>
        </w:tc>
        <w:tc>
          <w:tcPr>
            <w:tcW w:w="420" w:type="dxa"/>
            <w:vAlign w:val="bottom"/>
            <w:tcBorders>
              <w:top w:val="single" w:sz="8" w:color="0563C1"/>
            </w:tcBorders>
          </w:tcPr>
          <w:p>
            <w:pPr>
              <w:spacing w:after="0"/>
              <w:rPr>
                <w:sz w:val="17"/>
                <w:szCs w:val="17"/>
                <w:color w:val="auto"/>
              </w:rPr>
            </w:pPr>
          </w:p>
        </w:tc>
        <w:tc>
          <w:tcPr>
            <w:tcW w:w="1740" w:type="dxa"/>
            <w:vAlign w:val="bottom"/>
            <w:tcBorders>
              <w:top w:val="single" w:sz="8" w:color="0563C1"/>
            </w:tcBorders>
          </w:tcPr>
          <w:p>
            <w:pPr>
              <w:spacing w:after="0"/>
              <w:rPr>
                <w:sz w:val="17"/>
                <w:szCs w:val="17"/>
                <w:color w:val="auto"/>
              </w:rPr>
            </w:pPr>
          </w:p>
        </w:tc>
        <w:tc>
          <w:tcPr>
            <w:tcW w:w="220" w:type="dxa"/>
            <w:vAlign w:val="bottom"/>
            <w:tcBorders>
              <w:top w:val="single" w:sz="8" w:color="0563C1"/>
            </w:tcBorders>
          </w:tcPr>
          <w:p>
            <w:pPr>
              <w:spacing w:after="0"/>
              <w:rPr>
                <w:sz w:val="17"/>
                <w:szCs w:val="17"/>
                <w:color w:val="auto"/>
              </w:rPr>
            </w:pPr>
          </w:p>
        </w:tc>
        <w:tc>
          <w:tcPr>
            <w:tcW w:w="20" w:type="dxa"/>
            <w:vAlign w:val="bottom"/>
          </w:tcPr>
          <w:p>
            <w:pPr>
              <w:spacing w:after="0"/>
              <w:rPr>
                <w:sz w:val="17"/>
                <w:szCs w:val="17"/>
                <w:color w:val="auto"/>
              </w:rPr>
            </w:pPr>
          </w:p>
        </w:tc>
      </w:tr>
      <w:tr>
        <w:trPr>
          <w:trHeight w:val="465"/>
        </w:trPr>
        <w:tc>
          <w:tcPr>
            <w:tcW w:w="1380" w:type="dxa"/>
            <w:vAlign w:val="bottom"/>
          </w:tcPr>
          <w:p>
            <w:pPr>
              <w:spacing w:after="0"/>
              <w:rPr>
                <w:sz w:val="24"/>
                <w:szCs w:val="24"/>
                <w:color w:val="auto"/>
              </w:rPr>
            </w:pPr>
          </w:p>
        </w:tc>
        <w:tc>
          <w:tcPr>
            <w:tcW w:w="5220" w:type="dxa"/>
            <w:vAlign w:val="bottom"/>
            <w:tcBorders>
              <w:top w:val="single" w:sz="8" w:color="0000EE"/>
            </w:tcBorders>
            <w:gridSpan w:val="5"/>
          </w:tcPr>
          <w:p>
            <w:pPr>
              <w:ind w:left="4160"/>
              <w:spacing w:after="0"/>
              <w:rPr>
                <w:sz w:val="20"/>
                <w:szCs w:val="20"/>
                <w:color w:val="auto"/>
              </w:rPr>
            </w:pPr>
            <w:r>
              <w:rPr>
                <w:rFonts w:ascii="Arial" w:cs="Arial" w:eastAsia="Arial" w:hAnsi="Arial"/>
                <w:sz w:val="18"/>
                <w:szCs w:val="18"/>
                <w:color w:val="auto"/>
              </w:rPr>
              <w:t>69</w:t>
            </w: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38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9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7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07"/>
        </w:trPr>
        <w:tc>
          <w:tcPr>
            <w:tcW w:w="1380" w:type="dxa"/>
            <w:vAlign w:val="bottom"/>
          </w:tcPr>
          <w:p>
            <w:pPr>
              <w:spacing w:after="0"/>
              <w:rPr>
                <w:sz w:val="17"/>
                <w:szCs w:val="17"/>
                <w:color w:val="auto"/>
              </w:rPr>
            </w:pPr>
          </w:p>
        </w:tc>
        <w:tc>
          <w:tcPr>
            <w:tcW w:w="9860" w:type="dxa"/>
            <w:vAlign w:val="bottom"/>
            <w:gridSpan w:val="15"/>
          </w:tcPr>
          <w:p>
            <w:pPr>
              <w:spacing w:after="0"/>
              <w:rPr>
                <w:rFonts w:ascii="Arial" w:cs="Arial" w:eastAsia="Arial" w:hAnsi="Arial"/>
                <w:sz w:val="18"/>
                <w:szCs w:val="18"/>
                <w:color w:val="0563C1"/>
                <w:w w:val="99"/>
              </w:rPr>
            </w:pPr>
            <w:hyperlink r:id="rId333">
              <w:r>
                <w:rPr>
                  <w:rFonts w:ascii="Arial" w:cs="Arial" w:eastAsia="Arial" w:hAnsi="Arial"/>
                  <w:sz w:val="18"/>
                  <w:szCs w:val="18"/>
                  <w:color w:val="0563C1"/>
                  <w:w w:val="99"/>
                </w:rPr>
                <w:t>reference to Exhibit 10.2 to Quarterly Report on Form 10-Q for the quarter-ended September 30, 2019, File No. 000-12255).</w:t>
              </w:r>
            </w:hyperlink>
          </w:p>
        </w:tc>
      </w:tr>
      <w:tr>
        <w:trPr>
          <w:trHeight w:val="20"/>
        </w:trPr>
        <w:tc>
          <w:tcPr>
            <w:tcW w:w="1380" w:type="dxa"/>
            <w:vAlign w:val="bottom"/>
          </w:tcPr>
          <w:p>
            <w:pPr>
              <w:spacing w:after="0" w:line="20" w:lineRule="exact"/>
              <w:rPr>
                <w:sz w:val="1"/>
                <w:szCs w:val="1"/>
                <w:color w:val="auto"/>
              </w:rPr>
            </w:pPr>
          </w:p>
        </w:tc>
        <w:tc>
          <w:tcPr>
            <w:tcW w:w="560" w:type="dxa"/>
            <w:vAlign w:val="bottom"/>
            <w:shd w:val="clear" w:color="auto" w:fill="0563C1"/>
          </w:tcPr>
          <w:p>
            <w:pPr>
              <w:spacing w:after="0" w:line="20" w:lineRule="exact"/>
              <w:rPr>
                <w:sz w:val="1"/>
                <w:szCs w:val="1"/>
                <w:color w:val="auto"/>
              </w:rPr>
            </w:pPr>
          </w:p>
        </w:tc>
        <w:tc>
          <w:tcPr>
            <w:tcW w:w="1680" w:type="dxa"/>
            <w:vAlign w:val="bottom"/>
            <w:shd w:val="clear" w:color="auto" w:fill="0563C1"/>
          </w:tcPr>
          <w:p>
            <w:pPr>
              <w:spacing w:after="0" w:line="20" w:lineRule="exact"/>
              <w:rPr>
                <w:sz w:val="1"/>
                <w:szCs w:val="1"/>
                <w:color w:val="auto"/>
              </w:rPr>
            </w:pPr>
          </w:p>
        </w:tc>
        <w:tc>
          <w:tcPr>
            <w:tcW w:w="1880" w:type="dxa"/>
            <w:vAlign w:val="bottom"/>
            <w:shd w:val="clear" w:color="auto" w:fill="0563C1"/>
          </w:tcPr>
          <w:p>
            <w:pPr>
              <w:spacing w:after="0" w:line="20" w:lineRule="exact"/>
              <w:rPr>
                <w:sz w:val="1"/>
                <w:szCs w:val="1"/>
                <w:color w:val="auto"/>
              </w:rPr>
            </w:pPr>
          </w:p>
        </w:tc>
        <w:tc>
          <w:tcPr>
            <w:tcW w:w="260" w:type="dxa"/>
            <w:vAlign w:val="bottom"/>
            <w:tcBorders>
              <w:right w:val="single" w:sz="8" w:color="0563C1"/>
            </w:tcBorders>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320" w:type="dxa"/>
            <w:vAlign w:val="bottom"/>
            <w:tcBorders>
              <w:left w:val="single" w:sz="8" w:color="0563C1"/>
            </w:tcBorders>
            <w:shd w:val="clear" w:color="auto" w:fill="0563C1"/>
          </w:tcPr>
          <w:p>
            <w:pPr>
              <w:spacing w:after="0" w:line="20" w:lineRule="exact"/>
              <w:rPr>
                <w:sz w:val="1"/>
                <w:szCs w:val="1"/>
                <w:color w:val="auto"/>
              </w:rPr>
            </w:pPr>
          </w:p>
        </w:tc>
        <w:tc>
          <w:tcPr>
            <w:tcW w:w="420" w:type="dxa"/>
            <w:vAlign w:val="bottom"/>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56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040" w:type="dxa"/>
            <w:vAlign w:val="bottom"/>
            <w:shd w:val="clear" w:color="auto" w:fill="0563C1"/>
          </w:tcPr>
          <w:p>
            <w:pPr>
              <w:spacing w:after="0" w:line="20" w:lineRule="exact"/>
              <w:rPr>
                <w:sz w:val="1"/>
                <w:szCs w:val="1"/>
                <w:color w:val="auto"/>
              </w:rPr>
            </w:pPr>
          </w:p>
        </w:tc>
        <w:tc>
          <w:tcPr>
            <w:tcW w:w="1300" w:type="dxa"/>
            <w:vAlign w:val="bottom"/>
            <w:tcBorders>
              <w:left w:val="single" w:sz="8" w:color="0563C1"/>
            </w:tcBorders>
            <w:shd w:val="clear" w:color="auto" w:fill="0563C1"/>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5"/>
        </w:trPr>
        <w:tc>
          <w:tcPr>
            <w:tcW w:w="1380" w:type="dxa"/>
            <w:vAlign w:val="bottom"/>
          </w:tcPr>
          <w:p>
            <w:pPr>
              <w:ind w:left="120"/>
              <w:spacing w:after="0"/>
              <w:rPr>
                <w:sz w:val="20"/>
                <w:szCs w:val="20"/>
                <w:color w:val="auto"/>
              </w:rPr>
            </w:pPr>
            <w:r>
              <w:rPr>
                <w:rFonts w:ascii="Arial" w:cs="Arial" w:eastAsia="Arial" w:hAnsi="Arial"/>
                <w:sz w:val="18"/>
                <w:szCs w:val="18"/>
                <w:color w:val="auto"/>
              </w:rPr>
              <w:t>10.4.6</w:t>
            </w:r>
          </w:p>
        </w:tc>
        <w:tc>
          <w:tcPr>
            <w:tcW w:w="9860" w:type="dxa"/>
            <w:vAlign w:val="bottom"/>
            <w:tcBorders>
              <w:bottom w:val="single" w:sz="8" w:color="0563C1"/>
            </w:tcBorders>
            <w:gridSpan w:val="15"/>
          </w:tcPr>
          <w:p>
            <w:pPr>
              <w:spacing w:after="0"/>
              <w:rPr>
                <w:rFonts w:ascii="Arial" w:cs="Arial" w:eastAsia="Arial" w:hAnsi="Arial"/>
                <w:sz w:val="18"/>
                <w:szCs w:val="18"/>
                <w:color w:val="0563C1"/>
                <w:w w:val="92"/>
              </w:rPr>
            </w:pPr>
            <w:hyperlink r:id="rId336">
              <w:r>
                <w:rPr>
                  <w:rFonts w:ascii="Arial" w:cs="Arial" w:eastAsia="Arial" w:hAnsi="Arial"/>
                  <w:sz w:val="18"/>
                  <w:szCs w:val="18"/>
                  <w:color w:val="0563C1"/>
                  <w:w w:val="92"/>
                </w:rPr>
                <w:t>Amendment No. 6 to Loan and Security Agreement by and among the Company, certain of the Company’s subsidiaries party thereto,</w:t>
              </w:r>
            </w:hyperlink>
          </w:p>
        </w:tc>
      </w:tr>
      <w:tr>
        <w:trPr>
          <w:trHeight w:val="196"/>
        </w:trPr>
        <w:tc>
          <w:tcPr>
            <w:tcW w:w="1380" w:type="dxa"/>
            <w:vAlign w:val="bottom"/>
          </w:tcPr>
          <w:p>
            <w:pPr>
              <w:spacing w:after="0"/>
              <w:rPr>
                <w:sz w:val="17"/>
                <w:szCs w:val="17"/>
                <w:color w:val="auto"/>
              </w:rPr>
            </w:pPr>
          </w:p>
        </w:tc>
        <w:tc>
          <w:tcPr>
            <w:tcW w:w="9840" w:type="dxa"/>
            <w:vAlign w:val="bottom"/>
            <w:tcBorders>
              <w:bottom w:val="single" w:sz="8" w:color="0563C1"/>
            </w:tcBorders>
            <w:gridSpan w:val="14"/>
          </w:tcPr>
          <w:p>
            <w:pPr>
              <w:spacing w:after="0" w:line="195" w:lineRule="exact"/>
              <w:rPr>
                <w:rFonts w:ascii="Arial" w:cs="Arial" w:eastAsia="Arial" w:hAnsi="Arial"/>
                <w:sz w:val="18"/>
                <w:szCs w:val="18"/>
                <w:color w:val="0563C1"/>
                <w:w w:val="91"/>
              </w:rPr>
            </w:pPr>
            <w:hyperlink r:id="rId336">
              <w:r>
                <w:rPr>
                  <w:rFonts w:ascii="Arial" w:cs="Arial" w:eastAsia="Arial" w:hAnsi="Arial"/>
                  <w:sz w:val="18"/>
                  <w:szCs w:val="18"/>
                  <w:color w:val="0563C1"/>
                  <w:w w:val="91"/>
                </w:rPr>
                <w:t>the lenders party thereto and Citizens Business Capital as agent (incorporated by reference to Exhibit 10.5 to Quarterly Report on Form</w:t>
              </w:r>
            </w:hyperlink>
          </w:p>
        </w:tc>
        <w:tc>
          <w:tcPr>
            <w:tcW w:w="20" w:type="dxa"/>
            <w:vAlign w:val="bottom"/>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9860" w:type="dxa"/>
            <w:vAlign w:val="bottom"/>
            <w:gridSpan w:val="15"/>
          </w:tcPr>
          <w:p>
            <w:pPr>
              <w:spacing w:after="0" w:line="195" w:lineRule="exact"/>
              <w:rPr>
                <w:rFonts w:ascii="Arial" w:cs="Arial" w:eastAsia="Arial" w:hAnsi="Arial"/>
                <w:sz w:val="18"/>
                <w:szCs w:val="18"/>
                <w:color w:val="0563C1"/>
              </w:rPr>
            </w:pPr>
            <w:hyperlink r:id="rId336">
              <w:r>
                <w:rPr>
                  <w:rFonts w:ascii="Arial" w:cs="Arial" w:eastAsia="Arial" w:hAnsi="Arial"/>
                  <w:sz w:val="18"/>
                  <w:szCs w:val="18"/>
                  <w:color w:val="0563C1"/>
                </w:rPr>
                <w:t>10-Q for the quarter-ended September 30, 2020, File No. 000-12255).</w:t>
              </w:r>
            </w:hyperlink>
          </w:p>
        </w:tc>
      </w:tr>
      <w:tr>
        <w:trPr>
          <w:trHeight w:val="20"/>
        </w:trPr>
        <w:tc>
          <w:tcPr>
            <w:tcW w:w="1380" w:type="dxa"/>
            <w:vAlign w:val="bottom"/>
          </w:tcPr>
          <w:p>
            <w:pPr>
              <w:spacing w:after="0" w:line="20" w:lineRule="exact"/>
              <w:rPr>
                <w:sz w:val="1"/>
                <w:szCs w:val="1"/>
                <w:color w:val="auto"/>
              </w:rPr>
            </w:pPr>
          </w:p>
        </w:tc>
        <w:tc>
          <w:tcPr>
            <w:tcW w:w="560" w:type="dxa"/>
            <w:vAlign w:val="bottom"/>
            <w:shd w:val="clear" w:color="auto" w:fill="0563C1"/>
          </w:tcPr>
          <w:p>
            <w:pPr>
              <w:spacing w:after="0" w:line="20" w:lineRule="exact"/>
              <w:rPr>
                <w:sz w:val="1"/>
                <w:szCs w:val="1"/>
                <w:color w:val="auto"/>
              </w:rPr>
            </w:pPr>
          </w:p>
        </w:tc>
        <w:tc>
          <w:tcPr>
            <w:tcW w:w="1680" w:type="dxa"/>
            <w:vAlign w:val="bottom"/>
            <w:shd w:val="clear" w:color="auto" w:fill="0563C1"/>
          </w:tcPr>
          <w:p>
            <w:pPr>
              <w:spacing w:after="0" w:line="20" w:lineRule="exact"/>
              <w:rPr>
                <w:sz w:val="1"/>
                <w:szCs w:val="1"/>
                <w:color w:val="auto"/>
              </w:rPr>
            </w:pPr>
          </w:p>
        </w:tc>
        <w:tc>
          <w:tcPr>
            <w:tcW w:w="1880" w:type="dxa"/>
            <w:vAlign w:val="bottom"/>
            <w:shd w:val="clear" w:color="auto" w:fill="0563C1"/>
          </w:tcPr>
          <w:p>
            <w:pPr>
              <w:spacing w:after="0" w:line="20" w:lineRule="exact"/>
              <w:rPr>
                <w:sz w:val="1"/>
                <w:szCs w:val="1"/>
                <w:color w:val="auto"/>
              </w:rPr>
            </w:pPr>
          </w:p>
        </w:tc>
        <w:tc>
          <w:tcPr>
            <w:tcW w:w="260" w:type="dxa"/>
            <w:vAlign w:val="bottom"/>
            <w:tcBorders>
              <w:right w:val="single" w:sz="8" w:color="0563C1"/>
            </w:tcBorders>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5"/>
        </w:trPr>
        <w:tc>
          <w:tcPr>
            <w:tcW w:w="1380" w:type="dxa"/>
            <w:vAlign w:val="bottom"/>
          </w:tcPr>
          <w:p>
            <w:pPr>
              <w:ind w:left="120"/>
              <w:spacing w:after="0"/>
              <w:rPr>
                <w:sz w:val="20"/>
                <w:szCs w:val="20"/>
                <w:color w:val="auto"/>
              </w:rPr>
            </w:pPr>
            <w:r>
              <w:rPr>
                <w:rFonts w:ascii="Arial" w:cs="Arial" w:eastAsia="Arial" w:hAnsi="Arial"/>
                <w:sz w:val="18"/>
                <w:szCs w:val="18"/>
                <w:color w:val="auto"/>
              </w:rPr>
              <w:t>10.4.7</w:t>
            </w:r>
          </w:p>
        </w:tc>
        <w:tc>
          <w:tcPr>
            <w:tcW w:w="9860" w:type="dxa"/>
            <w:vAlign w:val="bottom"/>
            <w:tcBorders>
              <w:bottom w:val="single" w:sz="8" w:color="0563C1"/>
            </w:tcBorders>
            <w:gridSpan w:val="15"/>
          </w:tcPr>
          <w:p>
            <w:pPr>
              <w:spacing w:after="0"/>
              <w:rPr>
                <w:rFonts w:ascii="Arial" w:cs="Arial" w:eastAsia="Arial" w:hAnsi="Arial"/>
                <w:sz w:val="18"/>
                <w:szCs w:val="18"/>
                <w:color w:val="0563C1"/>
                <w:w w:val="92"/>
              </w:rPr>
            </w:pPr>
            <w:hyperlink r:id="rId337">
              <w:r>
                <w:rPr>
                  <w:rFonts w:ascii="Arial" w:cs="Arial" w:eastAsia="Arial" w:hAnsi="Arial"/>
                  <w:sz w:val="18"/>
                  <w:szCs w:val="18"/>
                  <w:color w:val="0563C1"/>
                  <w:w w:val="92"/>
                </w:rPr>
                <w:t>Amendment No. 7 to Loan and Security Agreement by and among the Company, certain of the Company’s subsidiaries party thereto,</w:t>
              </w:r>
            </w:hyperlink>
          </w:p>
        </w:tc>
      </w:tr>
      <w:tr>
        <w:trPr>
          <w:trHeight w:val="196"/>
        </w:trPr>
        <w:tc>
          <w:tcPr>
            <w:tcW w:w="1380" w:type="dxa"/>
            <w:vAlign w:val="bottom"/>
          </w:tcPr>
          <w:p>
            <w:pPr>
              <w:spacing w:after="0"/>
              <w:rPr>
                <w:sz w:val="17"/>
                <w:szCs w:val="17"/>
                <w:color w:val="auto"/>
              </w:rPr>
            </w:pPr>
          </w:p>
        </w:tc>
        <w:tc>
          <w:tcPr>
            <w:tcW w:w="9840" w:type="dxa"/>
            <w:vAlign w:val="bottom"/>
            <w:tcBorders>
              <w:bottom w:val="single" w:sz="8" w:color="0563C1"/>
            </w:tcBorders>
            <w:gridSpan w:val="14"/>
          </w:tcPr>
          <w:p>
            <w:pPr>
              <w:spacing w:after="0" w:line="195" w:lineRule="exact"/>
              <w:rPr>
                <w:rFonts w:ascii="Arial" w:cs="Arial" w:eastAsia="Arial" w:hAnsi="Arial"/>
                <w:sz w:val="18"/>
                <w:szCs w:val="18"/>
                <w:color w:val="0563C1"/>
                <w:w w:val="91"/>
              </w:rPr>
            </w:pPr>
            <w:hyperlink r:id="rId337">
              <w:r>
                <w:rPr>
                  <w:rFonts w:ascii="Arial" w:cs="Arial" w:eastAsia="Arial" w:hAnsi="Arial"/>
                  <w:sz w:val="18"/>
                  <w:szCs w:val="18"/>
                  <w:color w:val="0563C1"/>
                  <w:w w:val="91"/>
                </w:rPr>
                <w:t>the lenders party thereto and Citizens Business Capital as agent (incorporated by reference to Exhibit 10.1 to Quarterly Report on Form</w:t>
              </w:r>
            </w:hyperlink>
          </w:p>
        </w:tc>
        <w:tc>
          <w:tcPr>
            <w:tcW w:w="20" w:type="dxa"/>
            <w:vAlign w:val="bottom"/>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9860" w:type="dxa"/>
            <w:vAlign w:val="bottom"/>
            <w:gridSpan w:val="15"/>
          </w:tcPr>
          <w:p>
            <w:pPr>
              <w:spacing w:after="0" w:line="195" w:lineRule="exact"/>
              <w:rPr>
                <w:rFonts w:ascii="Arial" w:cs="Arial" w:eastAsia="Arial" w:hAnsi="Arial"/>
                <w:sz w:val="18"/>
                <w:szCs w:val="18"/>
                <w:color w:val="0563C1"/>
              </w:rPr>
            </w:pPr>
            <w:hyperlink r:id="rId337">
              <w:r>
                <w:rPr>
                  <w:rFonts w:ascii="Arial" w:cs="Arial" w:eastAsia="Arial" w:hAnsi="Arial"/>
                  <w:sz w:val="18"/>
                  <w:szCs w:val="18"/>
                  <w:color w:val="0563C1"/>
                </w:rPr>
                <w:t>10-Q for the quarter-ended September 30, 2022, File No. 000-12255).</w:t>
              </w:r>
            </w:hyperlink>
          </w:p>
        </w:tc>
      </w:tr>
      <w:tr>
        <w:trPr>
          <w:trHeight w:val="20"/>
        </w:trPr>
        <w:tc>
          <w:tcPr>
            <w:tcW w:w="1380" w:type="dxa"/>
            <w:vAlign w:val="bottom"/>
          </w:tcPr>
          <w:p>
            <w:pPr>
              <w:spacing w:after="0" w:line="20" w:lineRule="exact"/>
              <w:rPr>
                <w:sz w:val="1"/>
                <w:szCs w:val="1"/>
                <w:color w:val="auto"/>
              </w:rPr>
            </w:pPr>
          </w:p>
        </w:tc>
        <w:tc>
          <w:tcPr>
            <w:tcW w:w="560" w:type="dxa"/>
            <w:vAlign w:val="bottom"/>
            <w:shd w:val="clear" w:color="auto" w:fill="0563C1"/>
          </w:tcPr>
          <w:p>
            <w:pPr>
              <w:spacing w:after="0" w:line="20" w:lineRule="exact"/>
              <w:rPr>
                <w:sz w:val="1"/>
                <w:szCs w:val="1"/>
                <w:color w:val="auto"/>
              </w:rPr>
            </w:pPr>
          </w:p>
        </w:tc>
        <w:tc>
          <w:tcPr>
            <w:tcW w:w="1680" w:type="dxa"/>
            <w:vAlign w:val="bottom"/>
            <w:shd w:val="clear" w:color="auto" w:fill="0563C1"/>
          </w:tcPr>
          <w:p>
            <w:pPr>
              <w:spacing w:after="0" w:line="20" w:lineRule="exact"/>
              <w:rPr>
                <w:sz w:val="1"/>
                <w:szCs w:val="1"/>
                <w:color w:val="auto"/>
              </w:rPr>
            </w:pPr>
          </w:p>
        </w:tc>
        <w:tc>
          <w:tcPr>
            <w:tcW w:w="1880" w:type="dxa"/>
            <w:vAlign w:val="bottom"/>
            <w:shd w:val="clear" w:color="auto" w:fill="0563C1"/>
          </w:tcPr>
          <w:p>
            <w:pPr>
              <w:spacing w:after="0" w:line="20" w:lineRule="exact"/>
              <w:rPr>
                <w:sz w:val="1"/>
                <w:szCs w:val="1"/>
                <w:color w:val="auto"/>
              </w:rPr>
            </w:pPr>
          </w:p>
        </w:tc>
        <w:tc>
          <w:tcPr>
            <w:tcW w:w="260" w:type="dxa"/>
            <w:vAlign w:val="bottom"/>
            <w:tcBorders>
              <w:right w:val="single" w:sz="8" w:color="0563C1"/>
            </w:tcBorders>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5"/>
        </w:trPr>
        <w:tc>
          <w:tcPr>
            <w:tcW w:w="1380" w:type="dxa"/>
            <w:vAlign w:val="bottom"/>
          </w:tcPr>
          <w:p>
            <w:pPr>
              <w:ind w:left="120"/>
              <w:spacing w:after="0"/>
              <w:rPr>
                <w:sz w:val="20"/>
                <w:szCs w:val="20"/>
                <w:color w:val="auto"/>
              </w:rPr>
            </w:pPr>
            <w:r>
              <w:rPr>
                <w:rFonts w:ascii="Arial" w:cs="Arial" w:eastAsia="Arial" w:hAnsi="Arial"/>
                <w:sz w:val="18"/>
                <w:szCs w:val="18"/>
                <w:color w:val="auto"/>
              </w:rPr>
              <w:t>10.5</w:t>
            </w:r>
          </w:p>
        </w:tc>
        <w:tc>
          <w:tcPr>
            <w:tcW w:w="9860" w:type="dxa"/>
            <w:vAlign w:val="bottom"/>
            <w:tcBorders>
              <w:bottom w:val="single" w:sz="8" w:color="0563C1"/>
            </w:tcBorders>
            <w:gridSpan w:val="15"/>
          </w:tcPr>
          <w:p>
            <w:pPr>
              <w:spacing w:after="0"/>
              <w:rPr>
                <w:rFonts w:ascii="Arial" w:cs="Arial" w:eastAsia="Arial" w:hAnsi="Arial"/>
                <w:sz w:val="18"/>
                <w:szCs w:val="18"/>
                <w:color w:val="0563C1"/>
                <w:w w:val="94"/>
              </w:rPr>
            </w:pPr>
            <w:hyperlink r:id="rId338">
              <w:r>
                <w:rPr>
                  <w:rFonts w:ascii="Arial" w:cs="Arial" w:eastAsia="Arial" w:hAnsi="Arial"/>
                  <w:sz w:val="18"/>
                  <w:szCs w:val="18"/>
                  <w:color w:val="0563C1"/>
                  <w:w w:val="94"/>
                </w:rPr>
                <w:t>UST Tranche A Term Loan Credit Agreement, dated July 7, 2020, by and among the Company, as borrower, the subsidiaries of the</w:t>
              </w:r>
            </w:hyperlink>
          </w:p>
        </w:tc>
      </w:tr>
      <w:tr>
        <w:trPr>
          <w:trHeight w:val="196"/>
        </w:trPr>
        <w:tc>
          <w:tcPr>
            <w:tcW w:w="1380" w:type="dxa"/>
            <w:vAlign w:val="bottom"/>
          </w:tcPr>
          <w:p>
            <w:pPr>
              <w:spacing w:after="0"/>
              <w:rPr>
                <w:sz w:val="17"/>
                <w:szCs w:val="17"/>
                <w:color w:val="auto"/>
              </w:rPr>
            </w:pPr>
          </w:p>
        </w:tc>
        <w:tc>
          <w:tcPr>
            <w:tcW w:w="9840" w:type="dxa"/>
            <w:vAlign w:val="bottom"/>
            <w:tcBorders>
              <w:bottom w:val="single" w:sz="8" w:color="0563C1"/>
            </w:tcBorders>
            <w:gridSpan w:val="14"/>
          </w:tcPr>
          <w:p>
            <w:pPr>
              <w:spacing w:after="0" w:line="195" w:lineRule="exact"/>
              <w:rPr>
                <w:rFonts w:ascii="Arial" w:cs="Arial" w:eastAsia="Arial" w:hAnsi="Arial"/>
                <w:sz w:val="18"/>
                <w:szCs w:val="18"/>
                <w:color w:val="0563C1"/>
              </w:rPr>
            </w:pPr>
            <w:hyperlink r:id="rId338">
              <w:r>
                <w:rPr>
                  <w:rFonts w:ascii="Arial" w:cs="Arial" w:eastAsia="Arial" w:hAnsi="Arial"/>
                  <w:sz w:val="18"/>
                  <w:szCs w:val="18"/>
                  <w:color w:val="0563C1"/>
                </w:rPr>
                <w:t>borrower party thereto from time to time, the lenders from time to time party thereto, and The Bank of New York Mellon, as</w:t>
              </w:r>
            </w:hyperlink>
          </w:p>
        </w:tc>
        <w:tc>
          <w:tcPr>
            <w:tcW w:w="20" w:type="dxa"/>
            <w:vAlign w:val="bottom"/>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9860" w:type="dxa"/>
            <w:vAlign w:val="bottom"/>
            <w:tcBorders>
              <w:bottom w:val="single" w:sz="8" w:color="0563C1"/>
            </w:tcBorders>
            <w:gridSpan w:val="15"/>
          </w:tcPr>
          <w:p>
            <w:pPr>
              <w:spacing w:after="0" w:line="195" w:lineRule="exact"/>
              <w:rPr>
                <w:rFonts w:ascii="Arial" w:cs="Arial" w:eastAsia="Arial" w:hAnsi="Arial"/>
                <w:sz w:val="18"/>
                <w:szCs w:val="18"/>
                <w:color w:val="0563C1"/>
                <w:w w:val="92"/>
              </w:rPr>
            </w:pPr>
            <w:hyperlink r:id="rId338">
              <w:r>
                <w:rPr>
                  <w:rFonts w:ascii="Arial" w:cs="Arial" w:eastAsia="Arial" w:hAnsi="Arial"/>
                  <w:sz w:val="18"/>
                  <w:szCs w:val="18"/>
                  <w:color w:val="0563C1"/>
                  <w:w w:val="92"/>
                </w:rPr>
                <w:t>administrative agent and collateral agent for the lenders. (incorporated by reference to Exhibit 10.3 to Quarterly Report on Form 10-Q</w:t>
              </w:r>
            </w:hyperlink>
          </w:p>
        </w:tc>
      </w:tr>
      <w:tr>
        <w:trPr>
          <w:trHeight w:val="196"/>
        </w:trPr>
        <w:tc>
          <w:tcPr>
            <w:tcW w:w="1380" w:type="dxa"/>
            <w:vAlign w:val="bottom"/>
          </w:tcPr>
          <w:p>
            <w:pPr>
              <w:spacing w:after="0"/>
              <w:rPr>
                <w:sz w:val="17"/>
                <w:szCs w:val="17"/>
                <w:color w:val="auto"/>
              </w:rPr>
            </w:pPr>
          </w:p>
        </w:tc>
        <w:tc>
          <w:tcPr>
            <w:tcW w:w="4620" w:type="dxa"/>
            <w:vAlign w:val="bottom"/>
            <w:tcBorders>
              <w:bottom w:val="single" w:sz="8" w:color="0563C1"/>
            </w:tcBorders>
            <w:gridSpan w:val="5"/>
          </w:tcPr>
          <w:p>
            <w:pPr>
              <w:spacing w:after="0" w:line="195" w:lineRule="exact"/>
              <w:rPr>
                <w:rFonts w:ascii="Arial" w:cs="Arial" w:eastAsia="Arial" w:hAnsi="Arial"/>
                <w:sz w:val="18"/>
                <w:szCs w:val="18"/>
                <w:color w:val="0563C1"/>
                <w:w w:val="89"/>
              </w:rPr>
            </w:pPr>
            <w:hyperlink r:id="rId338">
              <w:r>
                <w:rPr>
                  <w:rFonts w:ascii="Arial" w:cs="Arial" w:eastAsia="Arial" w:hAnsi="Arial"/>
                  <w:sz w:val="18"/>
                  <w:szCs w:val="18"/>
                  <w:color w:val="0563C1"/>
                  <w:w w:val="89"/>
                </w:rPr>
                <w:t>for the quarter-ended September 30, 2020, File No. 000-12255).</w:t>
              </w:r>
            </w:hyperlink>
          </w:p>
        </w:tc>
        <w:tc>
          <w:tcPr>
            <w:tcW w:w="5240" w:type="dxa"/>
            <w:vAlign w:val="bottom"/>
            <w:gridSpan w:val="10"/>
          </w:tcPr>
          <w:p>
            <w:pPr>
              <w:spacing w:after="0"/>
              <w:rPr>
                <w:sz w:val="17"/>
                <w:szCs w:val="17"/>
                <w:color w:val="auto"/>
              </w:rPr>
            </w:pPr>
          </w:p>
        </w:tc>
      </w:tr>
      <w:tr>
        <w:trPr>
          <w:trHeight w:val="465"/>
        </w:trPr>
        <w:tc>
          <w:tcPr>
            <w:tcW w:w="1380" w:type="dxa"/>
            <w:vAlign w:val="bottom"/>
          </w:tcPr>
          <w:p>
            <w:pPr>
              <w:ind w:left="120"/>
              <w:spacing w:after="0"/>
              <w:rPr>
                <w:sz w:val="20"/>
                <w:szCs w:val="20"/>
                <w:color w:val="auto"/>
              </w:rPr>
            </w:pPr>
            <w:r>
              <w:rPr>
                <w:rFonts w:ascii="Arial" w:cs="Arial" w:eastAsia="Arial" w:hAnsi="Arial"/>
                <w:sz w:val="18"/>
                <w:szCs w:val="18"/>
                <w:color w:val="auto"/>
              </w:rPr>
              <w:t>10.6</w:t>
            </w:r>
          </w:p>
        </w:tc>
        <w:tc>
          <w:tcPr>
            <w:tcW w:w="9840" w:type="dxa"/>
            <w:vAlign w:val="bottom"/>
            <w:tcBorders>
              <w:bottom w:val="single" w:sz="8" w:color="0563C1"/>
            </w:tcBorders>
            <w:gridSpan w:val="14"/>
          </w:tcPr>
          <w:p>
            <w:pPr>
              <w:spacing w:after="0"/>
              <w:rPr>
                <w:rFonts w:ascii="Arial" w:cs="Arial" w:eastAsia="Arial" w:hAnsi="Arial"/>
                <w:sz w:val="18"/>
                <w:szCs w:val="18"/>
                <w:color w:val="0563C1"/>
                <w:w w:val="93"/>
              </w:rPr>
            </w:pPr>
            <w:hyperlink r:id="rId339">
              <w:r>
                <w:rPr>
                  <w:rFonts w:ascii="Arial" w:cs="Arial" w:eastAsia="Arial" w:hAnsi="Arial"/>
                  <w:sz w:val="18"/>
                  <w:szCs w:val="18"/>
                  <w:color w:val="0563C1"/>
                  <w:w w:val="93"/>
                </w:rPr>
                <w:t>UST Tranche B Term Loan Credit Agreement, dated July 7, 2020, by and among the Company, as borrower, the subsidiaries of the</w:t>
              </w:r>
            </w:hyperlink>
          </w:p>
        </w:tc>
        <w:tc>
          <w:tcPr>
            <w:tcW w:w="20" w:type="dxa"/>
            <w:vAlign w:val="bottom"/>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9840" w:type="dxa"/>
            <w:vAlign w:val="bottom"/>
            <w:tcBorders>
              <w:bottom w:val="single" w:sz="8" w:color="0563C1"/>
            </w:tcBorders>
            <w:gridSpan w:val="14"/>
          </w:tcPr>
          <w:p>
            <w:pPr>
              <w:spacing w:after="0" w:line="195" w:lineRule="exact"/>
              <w:rPr>
                <w:rFonts w:ascii="Arial" w:cs="Arial" w:eastAsia="Arial" w:hAnsi="Arial"/>
                <w:sz w:val="18"/>
                <w:szCs w:val="18"/>
                <w:color w:val="0563C1"/>
              </w:rPr>
            </w:pPr>
            <w:hyperlink r:id="rId339">
              <w:r>
                <w:rPr>
                  <w:rFonts w:ascii="Arial" w:cs="Arial" w:eastAsia="Arial" w:hAnsi="Arial"/>
                  <w:sz w:val="18"/>
                  <w:szCs w:val="18"/>
                  <w:color w:val="0563C1"/>
                </w:rPr>
                <w:t>borrower party thereto from time to time, the lenders from time to time party thereto, and The Bank of New York Mellon, as</w:t>
              </w:r>
            </w:hyperlink>
          </w:p>
        </w:tc>
        <w:tc>
          <w:tcPr>
            <w:tcW w:w="20" w:type="dxa"/>
            <w:vAlign w:val="bottom"/>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9860" w:type="dxa"/>
            <w:vAlign w:val="bottom"/>
            <w:tcBorders>
              <w:bottom w:val="single" w:sz="8" w:color="0563C1"/>
            </w:tcBorders>
            <w:gridSpan w:val="15"/>
          </w:tcPr>
          <w:p>
            <w:pPr>
              <w:spacing w:after="0" w:line="195" w:lineRule="exact"/>
              <w:rPr>
                <w:rFonts w:ascii="Arial" w:cs="Arial" w:eastAsia="Arial" w:hAnsi="Arial"/>
                <w:sz w:val="18"/>
                <w:szCs w:val="18"/>
                <w:color w:val="0563C1"/>
                <w:w w:val="92"/>
              </w:rPr>
            </w:pPr>
            <w:hyperlink r:id="rId339">
              <w:r>
                <w:rPr>
                  <w:rFonts w:ascii="Arial" w:cs="Arial" w:eastAsia="Arial" w:hAnsi="Arial"/>
                  <w:sz w:val="18"/>
                  <w:szCs w:val="18"/>
                  <w:color w:val="0563C1"/>
                  <w:w w:val="92"/>
                </w:rPr>
                <w:t>administrative agent and collateral agent for the lenders. (incorporated by reference to Exhibit 10.4 to Quarterly Report on Form 10-Q</w:t>
              </w:r>
            </w:hyperlink>
          </w:p>
        </w:tc>
      </w:tr>
      <w:tr>
        <w:trPr>
          <w:trHeight w:val="196"/>
        </w:trPr>
        <w:tc>
          <w:tcPr>
            <w:tcW w:w="1380" w:type="dxa"/>
            <w:vAlign w:val="bottom"/>
          </w:tcPr>
          <w:p>
            <w:pPr>
              <w:spacing w:after="0"/>
              <w:rPr>
                <w:sz w:val="17"/>
                <w:szCs w:val="17"/>
                <w:color w:val="auto"/>
              </w:rPr>
            </w:pPr>
          </w:p>
        </w:tc>
        <w:tc>
          <w:tcPr>
            <w:tcW w:w="4620" w:type="dxa"/>
            <w:vAlign w:val="bottom"/>
            <w:tcBorders>
              <w:bottom w:val="single" w:sz="8" w:color="0563C1"/>
            </w:tcBorders>
            <w:gridSpan w:val="5"/>
          </w:tcPr>
          <w:p>
            <w:pPr>
              <w:spacing w:after="0" w:line="195" w:lineRule="exact"/>
              <w:rPr>
                <w:rFonts w:ascii="Arial" w:cs="Arial" w:eastAsia="Arial" w:hAnsi="Arial"/>
                <w:sz w:val="18"/>
                <w:szCs w:val="18"/>
                <w:color w:val="0563C1"/>
                <w:w w:val="89"/>
              </w:rPr>
            </w:pPr>
            <w:hyperlink r:id="rId339">
              <w:r>
                <w:rPr>
                  <w:rFonts w:ascii="Arial" w:cs="Arial" w:eastAsia="Arial" w:hAnsi="Arial"/>
                  <w:sz w:val="18"/>
                  <w:szCs w:val="18"/>
                  <w:color w:val="0563C1"/>
                  <w:w w:val="89"/>
                </w:rPr>
                <w:t>for the quarter-ended September 30, 2020, File No. 000-12255).</w:t>
              </w:r>
            </w:hyperlink>
          </w:p>
        </w:tc>
        <w:tc>
          <w:tcPr>
            <w:tcW w:w="5240" w:type="dxa"/>
            <w:vAlign w:val="bottom"/>
            <w:gridSpan w:val="10"/>
          </w:tcPr>
          <w:p>
            <w:pPr>
              <w:spacing w:after="0"/>
              <w:rPr>
                <w:sz w:val="17"/>
                <w:szCs w:val="17"/>
                <w:color w:val="auto"/>
              </w:rPr>
            </w:pPr>
          </w:p>
        </w:tc>
      </w:tr>
      <w:tr>
        <w:trPr>
          <w:trHeight w:val="465"/>
        </w:trPr>
        <w:tc>
          <w:tcPr>
            <w:tcW w:w="1380" w:type="dxa"/>
            <w:vAlign w:val="bottom"/>
          </w:tcPr>
          <w:p>
            <w:pPr>
              <w:ind w:left="120"/>
              <w:spacing w:after="0"/>
              <w:rPr>
                <w:sz w:val="20"/>
                <w:szCs w:val="20"/>
                <w:color w:val="auto"/>
              </w:rPr>
            </w:pPr>
            <w:r>
              <w:rPr>
                <w:rFonts w:ascii="Arial" w:cs="Arial" w:eastAsia="Arial" w:hAnsi="Arial"/>
                <w:sz w:val="18"/>
                <w:szCs w:val="18"/>
                <w:color w:val="auto"/>
              </w:rPr>
              <w:t>10.7</w:t>
            </w:r>
          </w:p>
        </w:tc>
        <w:tc>
          <w:tcPr>
            <w:tcW w:w="9860" w:type="dxa"/>
            <w:vAlign w:val="bottom"/>
            <w:tcBorders>
              <w:bottom w:val="single" w:sz="8" w:color="0563C1"/>
            </w:tcBorders>
            <w:gridSpan w:val="15"/>
          </w:tcPr>
          <w:p>
            <w:pPr>
              <w:spacing w:after="0"/>
              <w:rPr>
                <w:rFonts w:ascii="Arial" w:cs="Arial" w:eastAsia="Arial" w:hAnsi="Arial"/>
                <w:sz w:val="18"/>
                <w:szCs w:val="18"/>
                <w:color w:val="0563C1"/>
                <w:w w:val="89"/>
              </w:rPr>
            </w:pPr>
            <w:hyperlink r:id="rId340">
              <w:r>
                <w:rPr>
                  <w:rFonts w:ascii="Arial" w:cs="Arial" w:eastAsia="Arial" w:hAnsi="Arial"/>
                  <w:sz w:val="18"/>
                  <w:szCs w:val="18"/>
                  <w:color w:val="0563C1"/>
                  <w:w w:val="89"/>
                </w:rPr>
                <w:t>Share Issuance Agreement, dated June 30, 2020, between the Company and the United States Department of the Treasury (incorporated</w:t>
              </w:r>
            </w:hyperlink>
          </w:p>
        </w:tc>
      </w:tr>
      <w:tr>
        <w:trPr>
          <w:trHeight w:val="196"/>
        </w:trPr>
        <w:tc>
          <w:tcPr>
            <w:tcW w:w="1380" w:type="dxa"/>
            <w:vAlign w:val="bottom"/>
          </w:tcPr>
          <w:p>
            <w:pPr>
              <w:spacing w:after="0"/>
              <w:rPr>
                <w:sz w:val="17"/>
                <w:szCs w:val="17"/>
                <w:color w:val="auto"/>
              </w:rPr>
            </w:pPr>
          </w:p>
        </w:tc>
        <w:tc>
          <w:tcPr>
            <w:tcW w:w="9860" w:type="dxa"/>
            <w:vAlign w:val="bottom"/>
            <w:gridSpan w:val="15"/>
          </w:tcPr>
          <w:p>
            <w:pPr>
              <w:spacing w:after="0" w:line="195" w:lineRule="exact"/>
              <w:rPr>
                <w:rFonts w:ascii="Arial" w:cs="Arial" w:eastAsia="Arial" w:hAnsi="Arial"/>
                <w:sz w:val="18"/>
                <w:szCs w:val="18"/>
                <w:color w:val="0563C1"/>
              </w:rPr>
            </w:pPr>
            <w:hyperlink r:id="rId340">
              <w:r>
                <w:rPr>
                  <w:rFonts w:ascii="Arial" w:cs="Arial" w:eastAsia="Arial" w:hAnsi="Arial"/>
                  <w:sz w:val="18"/>
                  <w:szCs w:val="18"/>
                  <w:color w:val="0563C1"/>
                </w:rPr>
                <w:t>by reference to Exhibit 10.1 to the Current Report on Form 8-K filed on July 7, 2020, File No. 000-12255).</w:t>
              </w:r>
            </w:hyperlink>
          </w:p>
        </w:tc>
      </w:tr>
      <w:tr>
        <w:trPr>
          <w:trHeight w:val="20"/>
        </w:trPr>
        <w:tc>
          <w:tcPr>
            <w:tcW w:w="1380" w:type="dxa"/>
            <w:vAlign w:val="bottom"/>
          </w:tcPr>
          <w:p>
            <w:pPr>
              <w:spacing w:after="0" w:line="20" w:lineRule="exact"/>
              <w:rPr>
                <w:sz w:val="1"/>
                <w:szCs w:val="1"/>
                <w:color w:val="auto"/>
              </w:rPr>
            </w:pPr>
          </w:p>
        </w:tc>
        <w:tc>
          <w:tcPr>
            <w:tcW w:w="560" w:type="dxa"/>
            <w:vAlign w:val="bottom"/>
            <w:shd w:val="clear" w:color="auto" w:fill="0563C1"/>
          </w:tcPr>
          <w:p>
            <w:pPr>
              <w:spacing w:after="0" w:line="20" w:lineRule="exact"/>
              <w:rPr>
                <w:sz w:val="1"/>
                <w:szCs w:val="1"/>
                <w:color w:val="auto"/>
              </w:rPr>
            </w:pPr>
          </w:p>
        </w:tc>
        <w:tc>
          <w:tcPr>
            <w:tcW w:w="1680" w:type="dxa"/>
            <w:vAlign w:val="bottom"/>
            <w:shd w:val="clear" w:color="auto" w:fill="0563C1"/>
          </w:tcPr>
          <w:p>
            <w:pPr>
              <w:spacing w:after="0" w:line="20" w:lineRule="exact"/>
              <w:rPr>
                <w:sz w:val="1"/>
                <w:szCs w:val="1"/>
                <w:color w:val="auto"/>
              </w:rPr>
            </w:pPr>
          </w:p>
        </w:tc>
        <w:tc>
          <w:tcPr>
            <w:tcW w:w="1880" w:type="dxa"/>
            <w:vAlign w:val="bottom"/>
            <w:shd w:val="clear" w:color="auto" w:fill="0563C1"/>
          </w:tcPr>
          <w:p>
            <w:pPr>
              <w:spacing w:after="0" w:line="20" w:lineRule="exact"/>
              <w:rPr>
                <w:sz w:val="1"/>
                <w:szCs w:val="1"/>
                <w:color w:val="auto"/>
              </w:rPr>
            </w:pPr>
          </w:p>
        </w:tc>
        <w:tc>
          <w:tcPr>
            <w:tcW w:w="260" w:type="dxa"/>
            <w:vAlign w:val="bottom"/>
            <w:tcBorders>
              <w:right w:val="single" w:sz="8" w:color="0563C1"/>
            </w:tcBorders>
            <w:shd w:val="clear" w:color="auto" w:fill="0563C1"/>
          </w:tcPr>
          <w:p>
            <w:pPr>
              <w:spacing w:after="0" w:line="20" w:lineRule="exact"/>
              <w:rPr>
                <w:sz w:val="1"/>
                <w:szCs w:val="1"/>
                <w:color w:val="auto"/>
              </w:rPr>
            </w:pPr>
          </w:p>
        </w:tc>
        <w:tc>
          <w:tcPr>
            <w:tcW w:w="960" w:type="dxa"/>
            <w:vAlign w:val="bottom"/>
            <w:gridSpan w:val="3"/>
            <w:shd w:val="clear" w:color="auto" w:fill="0563C1"/>
          </w:tcPr>
          <w:p>
            <w:pPr>
              <w:spacing w:after="0" w:line="20" w:lineRule="exact"/>
              <w:rPr>
                <w:sz w:val="1"/>
                <w:szCs w:val="1"/>
                <w:color w:val="auto"/>
              </w:rPr>
            </w:pPr>
          </w:p>
        </w:tc>
        <w:tc>
          <w:tcPr>
            <w:tcW w:w="420" w:type="dxa"/>
            <w:vAlign w:val="bottom"/>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56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040" w:type="dxa"/>
            <w:vAlign w:val="bottom"/>
            <w:shd w:val="clear" w:color="auto" w:fill="0563C1"/>
          </w:tcPr>
          <w:p>
            <w:pPr>
              <w:spacing w:after="0" w:line="20" w:lineRule="exact"/>
              <w:rPr>
                <w:sz w:val="1"/>
                <w:szCs w:val="1"/>
                <w:color w:val="auto"/>
              </w:rPr>
            </w:pPr>
          </w:p>
        </w:tc>
        <w:tc>
          <w:tcPr>
            <w:tcW w:w="2180" w:type="dxa"/>
            <w:vAlign w:val="bottom"/>
            <w:tcBorders>
              <w:left w:val="single" w:sz="8" w:color="0563C1"/>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5"/>
        </w:trPr>
        <w:tc>
          <w:tcPr>
            <w:tcW w:w="1380" w:type="dxa"/>
            <w:vAlign w:val="bottom"/>
          </w:tcPr>
          <w:p>
            <w:pPr>
              <w:ind w:left="120"/>
              <w:spacing w:after="0"/>
              <w:rPr>
                <w:sz w:val="20"/>
                <w:szCs w:val="20"/>
                <w:color w:val="auto"/>
              </w:rPr>
            </w:pPr>
            <w:r>
              <w:rPr>
                <w:rFonts w:ascii="Arial" w:cs="Arial" w:eastAsia="Arial" w:hAnsi="Arial"/>
                <w:sz w:val="18"/>
                <w:szCs w:val="18"/>
                <w:color w:val="auto"/>
              </w:rPr>
              <w:t>10.8</w:t>
            </w:r>
          </w:p>
        </w:tc>
        <w:tc>
          <w:tcPr>
            <w:tcW w:w="9860" w:type="dxa"/>
            <w:vAlign w:val="bottom"/>
            <w:tcBorders>
              <w:bottom w:val="single" w:sz="8" w:color="0563C1"/>
            </w:tcBorders>
            <w:gridSpan w:val="15"/>
          </w:tcPr>
          <w:p>
            <w:pPr>
              <w:spacing w:after="0"/>
              <w:rPr>
                <w:rFonts w:ascii="Arial" w:cs="Arial" w:eastAsia="Arial" w:hAnsi="Arial"/>
                <w:sz w:val="18"/>
                <w:szCs w:val="18"/>
                <w:color w:val="0563C1"/>
                <w:w w:val="90"/>
              </w:rPr>
            </w:pPr>
            <w:hyperlink r:id="rId341">
              <w:r>
                <w:rPr>
                  <w:rFonts w:ascii="Arial" w:cs="Arial" w:eastAsia="Arial" w:hAnsi="Arial"/>
                  <w:sz w:val="18"/>
                  <w:szCs w:val="18"/>
                  <w:color w:val="0563C1"/>
                  <w:w w:val="90"/>
                </w:rPr>
                <w:t>Voting Rights Agreement, dated July 9, 2020, among the Company, the United States Department of the Treasury, and The Bank of New</w:t>
              </w:r>
            </w:hyperlink>
          </w:p>
        </w:tc>
      </w:tr>
      <w:tr>
        <w:trPr>
          <w:trHeight w:val="196"/>
        </w:trPr>
        <w:tc>
          <w:tcPr>
            <w:tcW w:w="1380" w:type="dxa"/>
            <w:vAlign w:val="bottom"/>
          </w:tcPr>
          <w:p>
            <w:pPr>
              <w:spacing w:after="0"/>
              <w:rPr>
                <w:sz w:val="17"/>
                <w:szCs w:val="17"/>
                <w:color w:val="auto"/>
              </w:rPr>
            </w:pPr>
          </w:p>
        </w:tc>
        <w:tc>
          <w:tcPr>
            <w:tcW w:w="9860" w:type="dxa"/>
            <w:vAlign w:val="bottom"/>
            <w:tcBorders>
              <w:bottom w:val="single" w:sz="8" w:color="0563C1"/>
            </w:tcBorders>
            <w:gridSpan w:val="15"/>
          </w:tcPr>
          <w:p>
            <w:pPr>
              <w:spacing w:after="0" w:line="195" w:lineRule="exact"/>
              <w:rPr>
                <w:rFonts w:ascii="Arial" w:cs="Arial" w:eastAsia="Arial" w:hAnsi="Arial"/>
                <w:sz w:val="18"/>
                <w:szCs w:val="18"/>
                <w:color w:val="0563C1"/>
                <w:w w:val="92"/>
              </w:rPr>
            </w:pPr>
            <w:hyperlink r:id="rId341">
              <w:r>
                <w:rPr>
                  <w:rFonts w:ascii="Arial" w:cs="Arial" w:eastAsia="Arial" w:hAnsi="Arial"/>
                  <w:sz w:val="18"/>
                  <w:szCs w:val="18"/>
                  <w:color w:val="0563C1"/>
                  <w:w w:val="92"/>
                </w:rPr>
                <w:t>York Mellon, as trustee. (incorporated by reference to Exhibit 10.1 to Quarterly Report on Form 10-Q for the quarter-ended September</w:t>
              </w:r>
            </w:hyperlink>
          </w:p>
        </w:tc>
      </w:tr>
      <w:tr>
        <w:trPr>
          <w:trHeight w:val="196"/>
        </w:trPr>
        <w:tc>
          <w:tcPr>
            <w:tcW w:w="1380" w:type="dxa"/>
            <w:vAlign w:val="bottom"/>
          </w:tcPr>
          <w:p>
            <w:pPr>
              <w:spacing w:after="0"/>
              <w:rPr>
                <w:sz w:val="17"/>
                <w:szCs w:val="17"/>
                <w:color w:val="auto"/>
              </w:rPr>
            </w:pPr>
          </w:p>
        </w:tc>
        <w:tc>
          <w:tcPr>
            <w:tcW w:w="2240" w:type="dxa"/>
            <w:vAlign w:val="bottom"/>
            <w:tcBorders>
              <w:bottom w:val="single" w:sz="8" w:color="0563C1"/>
            </w:tcBorders>
            <w:gridSpan w:val="2"/>
          </w:tcPr>
          <w:p>
            <w:pPr>
              <w:spacing w:after="0" w:line="195" w:lineRule="exact"/>
              <w:rPr>
                <w:rFonts w:ascii="Arial" w:cs="Arial" w:eastAsia="Arial" w:hAnsi="Arial"/>
                <w:sz w:val="18"/>
                <w:szCs w:val="18"/>
                <w:color w:val="0563C1"/>
                <w:w w:val="90"/>
              </w:rPr>
            </w:pPr>
            <w:hyperlink r:id="rId341">
              <w:r>
                <w:rPr>
                  <w:rFonts w:ascii="Arial" w:cs="Arial" w:eastAsia="Arial" w:hAnsi="Arial"/>
                  <w:sz w:val="18"/>
                  <w:szCs w:val="18"/>
                  <w:color w:val="0563C1"/>
                  <w:w w:val="90"/>
                </w:rPr>
                <w:t>30, 2020, File No. 000-12255).</w:t>
              </w:r>
            </w:hyperlink>
          </w:p>
        </w:tc>
        <w:tc>
          <w:tcPr>
            <w:tcW w:w="7620" w:type="dxa"/>
            <w:vAlign w:val="bottom"/>
            <w:gridSpan w:val="13"/>
          </w:tcPr>
          <w:p>
            <w:pPr>
              <w:spacing w:after="0"/>
              <w:rPr>
                <w:sz w:val="17"/>
                <w:szCs w:val="17"/>
                <w:color w:val="auto"/>
              </w:rPr>
            </w:pPr>
          </w:p>
        </w:tc>
      </w:tr>
      <w:tr>
        <w:trPr>
          <w:trHeight w:val="465"/>
        </w:trPr>
        <w:tc>
          <w:tcPr>
            <w:tcW w:w="1380" w:type="dxa"/>
            <w:vAlign w:val="bottom"/>
          </w:tcPr>
          <w:p>
            <w:pPr>
              <w:ind w:left="120"/>
              <w:spacing w:after="0"/>
              <w:rPr>
                <w:sz w:val="20"/>
                <w:szCs w:val="20"/>
                <w:color w:val="auto"/>
              </w:rPr>
            </w:pPr>
            <w:r>
              <w:rPr>
                <w:rFonts w:ascii="Arial" w:cs="Arial" w:eastAsia="Arial" w:hAnsi="Arial"/>
                <w:sz w:val="18"/>
                <w:szCs w:val="18"/>
                <w:color w:val="auto"/>
              </w:rPr>
              <w:t>10.9</w:t>
            </w:r>
          </w:p>
        </w:tc>
        <w:tc>
          <w:tcPr>
            <w:tcW w:w="9840" w:type="dxa"/>
            <w:vAlign w:val="bottom"/>
            <w:tcBorders>
              <w:bottom w:val="single" w:sz="8" w:color="0563C1"/>
            </w:tcBorders>
            <w:gridSpan w:val="14"/>
          </w:tcPr>
          <w:p>
            <w:pPr>
              <w:spacing w:after="0"/>
              <w:rPr>
                <w:rFonts w:ascii="Arial" w:cs="Arial" w:eastAsia="Arial" w:hAnsi="Arial"/>
                <w:sz w:val="18"/>
                <w:szCs w:val="18"/>
                <w:color w:val="0563C1"/>
                <w:w w:val="98"/>
              </w:rPr>
            </w:pPr>
            <w:hyperlink r:id="rId342">
              <w:r>
                <w:rPr>
                  <w:rFonts w:ascii="Arial" w:cs="Arial" w:eastAsia="Arial" w:hAnsi="Arial"/>
                  <w:sz w:val="18"/>
                  <w:szCs w:val="18"/>
                  <w:color w:val="0563C1"/>
                  <w:w w:val="98"/>
                </w:rPr>
                <w:t>Registration Rights Agreement, dated July 9, 2020, between the Company and the United States Department of the Treasury.</w:t>
              </w:r>
            </w:hyperlink>
          </w:p>
        </w:tc>
        <w:tc>
          <w:tcPr>
            <w:tcW w:w="20" w:type="dxa"/>
            <w:vAlign w:val="bottom"/>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9860" w:type="dxa"/>
            <w:vAlign w:val="bottom"/>
            <w:tcBorders>
              <w:bottom w:val="single" w:sz="8" w:color="0563C1"/>
            </w:tcBorders>
            <w:gridSpan w:val="15"/>
          </w:tcPr>
          <w:p>
            <w:pPr>
              <w:spacing w:after="0" w:line="195" w:lineRule="exact"/>
              <w:rPr>
                <w:rFonts w:ascii="Arial" w:cs="Arial" w:eastAsia="Arial" w:hAnsi="Arial"/>
                <w:sz w:val="18"/>
                <w:szCs w:val="18"/>
                <w:color w:val="0563C1"/>
                <w:w w:val="92"/>
              </w:rPr>
            </w:pPr>
            <w:hyperlink r:id="rId342">
              <w:r>
                <w:rPr>
                  <w:rFonts w:ascii="Arial" w:cs="Arial" w:eastAsia="Arial" w:hAnsi="Arial"/>
                  <w:sz w:val="18"/>
                  <w:szCs w:val="18"/>
                  <w:color w:val="0563C1"/>
                  <w:w w:val="92"/>
                </w:rPr>
                <w:t>(incorporated by reference to Exhibit 10.2 to Quarterly Report on Form 10-Q for the quarter-ended September 30, 2020, File No. 000-</w:t>
              </w:r>
            </w:hyperlink>
          </w:p>
        </w:tc>
      </w:tr>
      <w:tr>
        <w:trPr>
          <w:trHeight w:val="196"/>
        </w:trPr>
        <w:tc>
          <w:tcPr>
            <w:tcW w:w="1380" w:type="dxa"/>
            <w:vAlign w:val="bottom"/>
          </w:tcPr>
          <w:p>
            <w:pPr>
              <w:spacing w:after="0"/>
              <w:rPr>
                <w:sz w:val="17"/>
                <w:szCs w:val="17"/>
                <w:color w:val="auto"/>
              </w:rPr>
            </w:pPr>
          </w:p>
        </w:tc>
        <w:tc>
          <w:tcPr>
            <w:tcW w:w="560" w:type="dxa"/>
            <w:vAlign w:val="bottom"/>
            <w:tcBorders>
              <w:bottom w:val="single" w:sz="8" w:color="0563C1"/>
            </w:tcBorders>
          </w:tcPr>
          <w:p>
            <w:pPr>
              <w:spacing w:after="0" w:line="195" w:lineRule="exact"/>
              <w:rPr>
                <w:rFonts w:ascii="Arial" w:cs="Arial" w:eastAsia="Arial" w:hAnsi="Arial"/>
                <w:sz w:val="18"/>
                <w:szCs w:val="18"/>
                <w:color w:val="0563C1"/>
                <w:w w:val="88"/>
              </w:rPr>
            </w:pPr>
            <w:hyperlink r:id="rId342">
              <w:r>
                <w:rPr>
                  <w:rFonts w:ascii="Arial" w:cs="Arial" w:eastAsia="Arial" w:hAnsi="Arial"/>
                  <w:sz w:val="18"/>
                  <w:szCs w:val="18"/>
                  <w:color w:val="0563C1"/>
                  <w:w w:val="88"/>
                </w:rPr>
                <w:t>12255).</w:t>
              </w:r>
            </w:hyperlink>
          </w:p>
        </w:tc>
        <w:tc>
          <w:tcPr>
            <w:tcW w:w="16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506"/>
        </w:trPr>
        <w:tc>
          <w:tcPr>
            <w:tcW w:w="11240" w:type="dxa"/>
            <w:vAlign w:val="bottom"/>
            <w:gridSpan w:val="16"/>
          </w:tcPr>
          <w:p>
            <w:pPr>
              <w:ind w:left="20"/>
              <w:spacing w:after="0"/>
              <w:rPr>
                <w:sz w:val="20"/>
                <w:szCs w:val="20"/>
                <w:color w:val="auto"/>
              </w:rPr>
            </w:pPr>
            <w:r>
              <w:rPr>
                <w:rFonts w:ascii="Arial" w:cs="Arial" w:eastAsia="Arial" w:hAnsi="Arial"/>
                <w:sz w:val="18"/>
                <w:szCs w:val="18"/>
                <w:color w:val="auto"/>
              </w:rPr>
              <w:t>(10) Management Contracts, Compensatory Plans and Arrangements</w:t>
            </w:r>
          </w:p>
        </w:tc>
      </w:tr>
      <w:tr>
        <w:trPr>
          <w:trHeight w:val="445"/>
        </w:trPr>
        <w:tc>
          <w:tcPr>
            <w:tcW w:w="1380" w:type="dxa"/>
            <w:vAlign w:val="bottom"/>
          </w:tcPr>
          <w:p>
            <w:pPr>
              <w:ind w:left="120"/>
              <w:spacing w:after="0"/>
              <w:rPr>
                <w:sz w:val="20"/>
                <w:szCs w:val="20"/>
                <w:color w:val="auto"/>
              </w:rPr>
            </w:pPr>
            <w:r>
              <w:rPr>
                <w:rFonts w:ascii="Arial" w:cs="Arial" w:eastAsia="Arial" w:hAnsi="Arial"/>
                <w:sz w:val="18"/>
                <w:szCs w:val="18"/>
                <w:color w:val="auto"/>
              </w:rPr>
              <w:t>10.10.1</w:t>
            </w:r>
          </w:p>
        </w:tc>
        <w:tc>
          <w:tcPr>
            <w:tcW w:w="9860" w:type="dxa"/>
            <w:vAlign w:val="bottom"/>
            <w:gridSpan w:val="15"/>
          </w:tcPr>
          <w:p>
            <w:pPr>
              <w:spacing w:after="0"/>
              <w:rPr>
                <w:rFonts w:ascii="Arial" w:cs="Arial" w:eastAsia="Arial" w:hAnsi="Arial"/>
                <w:sz w:val="18"/>
                <w:szCs w:val="18"/>
                <w:color w:val="0563C1"/>
              </w:rPr>
            </w:pPr>
            <w:hyperlink r:id="rId343">
              <w:r>
                <w:rPr>
                  <w:rFonts w:ascii="Arial" w:cs="Arial" w:eastAsia="Arial" w:hAnsi="Arial"/>
                  <w:sz w:val="18"/>
                  <w:szCs w:val="18"/>
                  <w:color w:val="0563C1"/>
                </w:rPr>
                <w:t>Yellow Corporation Fifth Amended and Restated Director Compensation Plan, effective January 22, 2022.</w:t>
              </w:r>
            </w:hyperlink>
          </w:p>
        </w:tc>
      </w:tr>
      <w:tr>
        <w:trPr>
          <w:trHeight w:val="20"/>
        </w:trPr>
        <w:tc>
          <w:tcPr>
            <w:tcW w:w="1380" w:type="dxa"/>
            <w:vAlign w:val="bottom"/>
          </w:tcPr>
          <w:p>
            <w:pPr>
              <w:spacing w:after="0" w:line="20" w:lineRule="exact"/>
              <w:rPr>
                <w:sz w:val="1"/>
                <w:szCs w:val="1"/>
                <w:color w:val="auto"/>
              </w:rPr>
            </w:pPr>
          </w:p>
        </w:tc>
        <w:tc>
          <w:tcPr>
            <w:tcW w:w="4120" w:type="dxa"/>
            <w:vAlign w:val="bottom"/>
            <w:gridSpan w:val="3"/>
            <w:shd w:val="clear" w:color="auto" w:fill="0563C1"/>
          </w:tcPr>
          <w:p>
            <w:pPr>
              <w:spacing w:after="0" w:line="20" w:lineRule="exact"/>
              <w:rPr>
                <w:sz w:val="1"/>
                <w:szCs w:val="1"/>
                <w:color w:val="auto"/>
              </w:rPr>
            </w:pPr>
          </w:p>
        </w:tc>
        <w:tc>
          <w:tcPr>
            <w:tcW w:w="260" w:type="dxa"/>
            <w:vAlign w:val="bottom"/>
            <w:tcBorders>
              <w:right w:val="single" w:sz="8" w:color="0563C1"/>
            </w:tcBorders>
            <w:shd w:val="clear" w:color="auto" w:fill="0563C1"/>
          </w:tcPr>
          <w:p>
            <w:pPr>
              <w:spacing w:after="0" w:line="20" w:lineRule="exact"/>
              <w:rPr>
                <w:sz w:val="1"/>
                <w:szCs w:val="1"/>
                <w:color w:val="auto"/>
              </w:rPr>
            </w:pPr>
          </w:p>
        </w:tc>
        <w:tc>
          <w:tcPr>
            <w:tcW w:w="960" w:type="dxa"/>
            <w:vAlign w:val="bottom"/>
            <w:gridSpan w:val="3"/>
            <w:shd w:val="clear" w:color="auto" w:fill="0563C1"/>
          </w:tcPr>
          <w:p>
            <w:pPr>
              <w:spacing w:after="0" w:line="20" w:lineRule="exact"/>
              <w:rPr>
                <w:sz w:val="1"/>
                <w:szCs w:val="1"/>
                <w:color w:val="auto"/>
              </w:rPr>
            </w:pPr>
          </w:p>
        </w:tc>
        <w:tc>
          <w:tcPr>
            <w:tcW w:w="420" w:type="dxa"/>
            <w:vAlign w:val="bottom"/>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56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040" w:type="dxa"/>
            <w:vAlign w:val="bottom"/>
            <w:shd w:val="clear" w:color="auto" w:fill="0563C1"/>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380" w:type="dxa"/>
            <w:vAlign w:val="bottom"/>
          </w:tcPr>
          <w:p>
            <w:pPr>
              <w:ind w:left="120"/>
              <w:spacing w:after="0"/>
              <w:rPr>
                <w:sz w:val="20"/>
                <w:szCs w:val="20"/>
                <w:color w:val="auto"/>
              </w:rPr>
            </w:pPr>
            <w:r>
              <w:rPr>
                <w:rFonts w:ascii="Arial" w:cs="Arial" w:eastAsia="Arial" w:hAnsi="Arial"/>
                <w:sz w:val="18"/>
                <w:szCs w:val="18"/>
                <w:color w:val="auto"/>
              </w:rPr>
              <w:t>10.10.2</w:t>
            </w:r>
          </w:p>
        </w:tc>
        <w:tc>
          <w:tcPr>
            <w:tcW w:w="9860" w:type="dxa"/>
            <w:vAlign w:val="bottom"/>
            <w:tcBorders>
              <w:bottom w:val="single" w:sz="8" w:color="0563C1"/>
            </w:tcBorders>
            <w:gridSpan w:val="15"/>
          </w:tcPr>
          <w:p>
            <w:pPr>
              <w:spacing w:after="0"/>
              <w:rPr>
                <w:rFonts w:ascii="Arial" w:cs="Arial" w:eastAsia="Arial" w:hAnsi="Arial"/>
                <w:sz w:val="18"/>
                <w:szCs w:val="18"/>
                <w:color w:val="0563C1"/>
                <w:w w:val="93"/>
              </w:rPr>
            </w:pPr>
            <w:hyperlink r:id="rId344">
              <w:r>
                <w:rPr>
                  <w:rFonts w:ascii="Arial" w:cs="Arial" w:eastAsia="Arial" w:hAnsi="Arial"/>
                  <w:sz w:val="18"/>
                  <w:szCs w:val="18"/>
                  <w:color w:val="0563C1"/>
                  <w:w w:val="93"/>
                </w:rPr>
                <w:t>Form of Director Restricted Stock Unit Agreement for Non-Employee Director (incorporated by reference to Exhibit 10.2 to Quarterly</w:t>
              </w:r>
            </w:hyperlink>
          </w:p>
        </w:tc>
      </w:tr>
      <w:tr>
        <w:trPr>
          <w:trHeight w:val="196"/>
        </w:trPr>
        <w:tc>
          <w:tcPr>
            <w:tcW w:w="1380" w:type="dxa"/>
            <w:vAlign w:val="bottom"/>
          </w:tcPr>
          <w:p>
            <w:pPr>
              <w:spacing w:after="0"/>
              <w:rPr>
                <w:sz w:val="17"/>
                <w:szCs w:val="17"/>
                <w:color w:val="auto"/>
              </w:rPr>
            </w:pPr>
          </w:p>
        </w:tc>
        <w:tc>
          <w:tcPr>
            <w:tcW w:w="9860" w:type="dxa"/>
            <w:vAlign w:val="bottom"/>
            <w:gridSpan w:val="15"/>
          </w:tcPr>
          <w:p>
            <w:pPr>
              <w:spacing w:after="0" w:line="195" w:lineRule="exact"/>
              <w:rPr>
                <w:rFonts w:ascii="Arial" w:cs="Arial" w:eastAsia="Arial" w:hAnsi="Arial"/>
                <w:sz w:val="18"/>
                <w:szCs w:val="18"/>
                <w:color w:val="0563C1"/>
              </w:rPr>
            </w:pPr>
            <w:hyperlink r:id="rId344">
              <w:r>
                <w:rPr>
                  <w:rFonts w:ascii="Arial" w:cs="Arial" w:eastAsia="Arial" w:hAnsi="Arial"/>
                  <w:sz w:val="18"/>
                  <w:szCs w:val="18"/>
                  <w:color w:val="0563C1"/>
                </w:rPr>
                <w:t>Report on Form 10-Q for the quarter ended June 30, 2015, File No. 000-12255).</w:t>
              </w:r>
            </w:hyperlink>
          </w:p>
        </w:tc>
      </w:tr>
      <w:tr>
        <w:trPr>
          <w:trHeight w:val="20"/>
        </w:trPr>
        <w:tc>
          <w:tcPr>
            <w:tcW w:w="1380" w:type="dxa"/>
            <w:vAlign w:val="bottom"/>
          </w:tcPr>
          <w:p>
            <w:pPr>
              <w:spacing w:after="0" w:line="20" w:lineRule="exact"/>
              <w:rPr>
                <w:sz w:val="1"/>
                <w:szCs w:val="1"/>
                <w:color w:val="auto"/>
              </w:rPr>
            </w:pPr>
          </w:p>
        </w:tc>
        <w:tc>
          <w:tcPr>
            <w:tcW w:w="4120" w:type="dxa"/>
            <w:vAlign w:val="bottom"/>
            <w:gridSpan w:val="3"/>
            <w:shd w:val="clear" w:color="auto" w:fill="0563C1"/>
          </w:tcPr>
          <w:p>
            <w:pPr>
              <w:spacing w:after="0" w:line="20" w:lineRule="exact"/>
              <w:rPr>
                <w:sz w:val="1"/>
                <w:szCs w:val="1"/>
                <w:color w:val="auto"/>
              </w:rPr>
            </w:pPr>
          </w:p>
        </w:tc>
        <w:tc>
          <w:tcPr>
            <w:tcW w:w="260" w:type="dxa"/>
            <w:vAlign w:val="bottom"/>
            <w:tcBorders>
              <w:right w:val="single" w:sz="8" w:color="0563C1"/>
            </w:tcBorders>
            <w:shd w:val="clear" w:color="auto" w:fill="0563C1"/>
          </w:tcPr>
          <w:p>
            <w:pPr>
              <w:spacing w:after="0" w:line="20" w:lineRule="exact"/>
              <w:rPr>
                <w:sz w:val="1"/>
                <w:szCs w:val="1"/>
                <w:color w:val="auto"/>
              </w:rPr>
            </w:pPr>
          </w:p>
        </w:tc>
        <w:tc>
          <w:tcPr>
            <w:tcW w:w="960" w:type="dxa"/>
            <w:vAlign w:val="bottom"/>
            <w:gridSpan w:val="3"/>
            <w:shd w:val="clear" w:color="auto" w:fill="0563C1"/>
          </w:tcPr>
          <w:p>
            <w:pPr>
              <w:spacing w:after="0" w:line="20" w:lineRule="exact"/>
              <w:rPr>
                <w:sz w:val="1"/>
                <w:szCs w:val="1"/>
                <w:color w:val="auto"/>
              </w:rPr>
            </w:pPr>
          </w:p>
        </w:tc>
        <w:tc>
          <w:tcPr>
            <w:tcW w:w="420" w:type="dxa"/>
            <w:vAlign w:val="bottom"/>
            <w:shd w:val="clear" w:color="auto" w:fill="0563C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380" w:type="dxa"/>
            <w:vAlign w:val="bottom"/>
          </w:tcPr>
          <w:p>
            <w:pPr>
              <w:ind w:left="120"/>
              <w:spacing w:after="0"/>
              <w:rPr>
                <w:sz w:val="20"/>
                <w:szCs w:val="20"/>
                <w:color w:val="auto"/>
              </w:rPr>
            </w:pPr>
            <w:r>
              <w:rPr>
                <w:rFonts w:ascii="Arial" w:cs="Arial" w:eastAsia="Arial" w:hAnsi="Arial"/>
                <w:sz w:val="18"/>
                <w:szCs w:val="18"/>
                <w:color w:val="auto"/>
              </w:rPr>
              <w:t>10.11</w:t>
            </w:r>
          </w:p>
        </w:tc>
        <w:tc>
          <w:tcPr>
            <w:tcW w:w="9860" w:type="dxa"/>
            <w:vAlign w:val="bottom"/>
            <w:tcBorders>
              <w:bottom w:val="single" w:sz="8" w:color="0563C1"/>
            </w:tcBorders>
            <w:gridSpan w:val="15"/>
          </w:tcPr>
          <w:p>
            <w:pPr>
              <w:spacing w:after="0"/>
              <w:rPr>
                <w:rFonts w:ascii="Arial" w:cs="Arial" w:eastAsia="Arial" w:hAnsi="Arial"/>
                <w:sz w:val="18"/>
                <w:szCs w:val="18"/>
                <w:color w:val="0563C1"/>
                <w:w w:val="91"/>
              </w:rPr>
            </w:pPr>
            <w:hyperlink r:id="rId345">
              <w:r>
                <w:rPr>
                  <w:rFonts w:ascii="Arial" w:cs="Arial" w:eastAsia="Arial" w:hAnsi="Arial"/>
                  <w:sz w:val="18"/>
                  <w:szCs w:val="18"/>
                  <w:color w:val="0563C1"/>
                  <w:w w:val="91"/>
                </w:rPr>
                <w:t>Form of Indemnification Agreement between the Company and each of its directors and executive officers (incorporated by reference to</w:t>
              </w:r>
            </w:hyperlink>
          </w:p>
        </w:tc>
      </w:tr>
      <w:tr>
        <w:trPr>
          <w:trHeight w:val="196"/>
        </w:trPr>
        <w:tc>
          <w:tcPr>
            <w:tcW w:w="1380" w:type="dxa"/>
            <w:vAlign w:val="bottom"/>
          </w:tcPr>
          <w:p>
            <w:pPr>
              <w:spacing w:after="0"/>
              <w:rPr>
                <w:sz w:val="17"/>
                <w:szCs w:val="17"/>
                <w:color w:val="auto"/>
              </w:rPr>
            </w:pPr>
          </w:p>
        </w:tc>
        <w:tc>
          <w:tcPr>
            <w:tcW w:w="9860" w:type="dxa"/>
            <w:vAlign w:val="bottom"/>
            <w:gridSpan w:val="15"/>
          </w:tcPr>
          <w:p>
            <w:pPr>
              <w:spacing w:after="0" w:line="195" w:lineRule="exact"/>
              <w:rPr>
                <w:rFonts w:ascii="Arial" w:cs="Arial" w:eastAsia="Arial" w:hAnsi="Arial"/>
                <w:sz w:val="18"/>
                <w:szCs w:val="18"/>
                <w:color w:val="0563C1"/>
              </w:rPr>
            </w:pPr>
            <w:hyperlink r:id="rId345">
              <w:r>
                <w:rPr>
                  <w:rFonts w:ascii="Arial" w:cs="Arial" w:eastAsia="Arial" w:hAnsi="Arial"/>
                  <w:sz w:val="18"/>
                  <w:szCs w:val="18"/>
                  <w:color w:val="0563C1"/>
                </w:rPr>
                <w:t>Exhibit 10.5 to Current Report on Form 8-K, filed on March 15, 2007, File No. 000-12255).</w:t>
              </w:r>
            </w:hyperlink>
          </w:p>
        </w:tc>
      </w:tr>
      <w:tr>
        <w:trPr>
          <w:trHeight w:val="20"/>
        </w:trPr>
        <w:tc>
          <w:tcPr>
            <w:tcW w:w="1380" w:type="dxa"/>
            <w:vAlign w:val="bottom"/>
          </w:tcPr>
          <w:p>
            <w:pPr>
              <w:spacing w:after="0" w:line="20" w:lineRule="exact"/>
              <w:rPr>
                <w:sz w:val="1"/>
                <w:szCs w:val="1"/>
                <w:color w:val="auto"/>
              </w:rPr>
            </w:pPr>
          </w:p>
        </w:tc>
        <w:tc>
          <w:tcPr>
            <w:tcW w:w="4120" w:type="dxa"/>
            <w:vAlign w:val="bottom"/>
            <w:gridSpan w:val="3"/>
            <w:shd w:val="clear" w:color="auto" w:fill="0563C1"/>
          </w:tcPr>
          <w:p>
            <w:pPr>
              <w:spacing w:after="0" w:line="20" w:lineRule="exact"/>
              <w:rPr>
                <w:sz w:val="1"/>
                <w:szCs w:val="1"/>
                <w:color w:val="auto"/>
              </w:rPr>
            </w:pPr>
          </w:p>
        </w:tc>
        <w:tc>
          <w:tcPr>
            <w:tcW w:w="260" w:type="dxa"/>
            <w:vAlign w:val="bottom"/>
            <w:tcBorders>
              <w:right w:val="single" w:sz="8" w:color="0563C1"/>
            </w:tcBorders>
            <w:shd w:val="clear" w:color="auto" w:fill="0563C1"/>
          </w:tcPr>
          <w:p>
            <w:pPr>
              <w:spacing w:after="0" w:line="20" w:lineRule="exact"/>
              <w:rPr>
                <w:sz w:val="1"/>
                <w:szCs w:val="1"/>
                <w:color w:val="auto"/>
              </w:rPr>
            </w:pPr>
          </w:p>
        </w:tc>
        <w:tc>
          <w:tcPr>
            <w:tcW w:w="960" w:type="dxa"/>
            <w:vAlign w:val="bottom"/>
            <w:gridSpan w:val="3"/>
            <w:shd w:val="clear" w:color="auto" w:fill="0563C1"/>
          </w:tcPr>
          <w:p>
            <w:pPr>
              <w:spacing w:after="0" w:line="20" w:lineRule="exact"/>
              <w:rPr>
                <w:sz w:val="1"/>
                <w:szCs w:val="1"/>
                <w:color w:val="auto"/>
              </w:rPr>
            </w:pPr>
          </w:p>
        </w:tc>
        <w:tc>
          <w:tcPr>
            <w:tcW w:w="640" w:type="dxa"/>
            <w:vAlign w:val="bottom"/>
            <w:gridSpan w:val="2"/>
            <w:shd w:val="clear" w:color="auto" w:fill="0563C1"/>
          </w:tcPr>
          <w:p>
            <w:pPr>
              <w:spacing w:after="0" w:line="20" w:lineRule="exact"/>
              <w:rPr>
                <w:sz w:val="1"/>
                <w:szCs w:val="1"/>
                <w:color w:val="auto"/>
              </w:rPr>
            </w:pPr>
          </w:p>
        </w:tc>
        <w:tc>
          <w:tcPr>
            <w:tcW w:w="56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380" w:type="dxa"/>
            <w:vAlign w:val="bottom"/>
          </w:tcPr>
          <w:p>
            <w:pPr>
              <w:ind w:left="120"/>
              <w:spacing w:after="0"/>
              <w:rPr>
                <w:sz w:val="20"/>
                <w:szCs w:val="20"/>
                <w:color w:val="auto"/>
              </w:rPr>
            </w:pPr>
            <w:r>
              <w:rPr>
                <w:rFonts w:ascii="Arial" w:cs="Arial" w:eastAsia="Arial" w:hAnsi="Arial"/>
                <w:sz w:val="18"/>
                <w:szCs w:val="18"/>
                <w:color w:val="auto"/>
              </w:rPr>
              <w:t>10.12</w:t>
            </w:r>
          </w:p>
        </w:tc>
        <w:tc>
          <w:tcPr>
            <w:tcW w:w="9840" w:type="dxa"/>
            <w:vAlign w:val="bottom"/>
            <w:tcBorders>
              <w:bottom w:val="single" w:sz="8" w:color="0563C1"/>
            </w:tcBorders>
            <w:gridSpan w:val="14"/>
          </w:tcPr>
          <w:p>
            <w:pPr>
              <w:spacing w:after="0"/>
              <w:rPr>
                <w:rFonts w:ascii="Arial" w:cs="Arial" w:eastAsia="Arial" w:hAnsi="Arial"/>
                <w:sz w:val="18"/>
                <w:szCs w:val="18"/>
                <w:color w:val="0563C1"/>
                <w:w w:val="92"/>
              </w:rPr>
            </w:pPr>
            <w:hyperlink r:id="rId346">
              <w:r>
                <w:rPr>
                  <w:rFonts w:ascii="Arial" w:cs="Arial" w:eastAsia="Arial" w:hAnsi="Arial"/>
                  <w:sz w:val="18"/>
                  <w:szCs w:val="18"/>
                  <w:color w:val="0563C1"/>
                  <w:w w:val="92"/>
                </w:rPr>
                <w:t>YRC Worldwide Inc. 2019 Incentive and Equity Award Plan (incorporated by reference to Exhibit 10.2 to Annual Report on Form 10-K</w:t>
              </w:r>
            </w:hyperlink>
          </w:p>
        </w:tc>
        <w:tc>
          <w:tcPr>
            <w:tcW w:w="20" w:type="dxa"/>
            <w:vAlign w:val="bottom"/>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9860" w:type="dxa"/>
            <w:vAlign w:val="bottom"/>
            <w:gridSpan w:val="15"/>
          </w:tcPr>
          <w:p>
            <w:pPr>
              <w:spacing w:after="0" w:line="195" w:lineRule="exact"/>
              <w:rPr>
                <w:rFonts w:ascii="Arial" w:cs="Arial" w:eastAsia="Arial" w:hAnsi="Arial"/>
                <w:sz w:val="18"/>
                <w:szCs w:val="18"/>
                <w:color w:val="0563C1"/>
              </w:rPr>
            </w:pPr>
            <w:hyperlink r:id="rId346">
              <w:r>
                <w:rPr>
                  <w:rFonts w:ascii="Arial" w:cs="Arial" w:eastAsia="Arial" w:hAnsi="Arial"/>
                  <w:sz w:val="18"/>
                  <w:szCs w:val="18"/>
                  <w:color w:val="0563C1"/>
                </w:rPr>
                <w:t>for the year ended December 31, 2019, File No. 000-12255).</w:t>
              </w:r>
            </w:hyperlink>
          </w:p>
        </w:tc>
      </w:tr>
      <w:tr>
        <w:trPr>
          <w:trHeight w:val="20"/>
        </w:trPr>
        <w:tc>
          <w:tcPr>
            <w:tcW w:w="1380" w:type="dxa"/>
            <w:vAlign w:val="bottom"/>
          </w:tcPr>
          <w:p>
            <w:pPr>
              <w:spacing w:after="0" w:line="20" w:lineRule="exact"/>
              <w:rPr>
                <w:sz w:val="1"/>
                <w:szCs w:val="1"/>
                <w:color w:val="auto"/>
              </w:rPr>
            </w:pPr>
          </w:p>
        </w:tc>
        <w:tc>
          <w:tcPr>
            <w:tcW w:w="4120" w:type="dxa"/>
            <w:vAlign w:val="bottom"/>
            <w:gridSpan w:val="3"/>
            <w:shd w:val="clear" w:color="auto" w:fill="0563C1"/>
          </w:tcPr>
          <w:p>
            <w:pPr>
              <w:spacing w:after="0" w:line="20" w:lineRule="exact"/>
              <w:rPr>
                <w:sz w:val="1"/>
                <w:szCs w:val="1"/>
                <w:color w:val="auto"/>
              </w:rPr>
            </w:pPr>
          </w:p>
        </w:tc>
        <w:tc>
          <w:tcPr>
            <w:tcW w:w="260" w:type="dxa"/>
            <w:vAlign w:val="bottom"/>
            <w:tcBorders>
              <w:right w:val="single" w:sz="8" w:color="0000EE"/>
            </w:tcBorders>
            <w:shd w:val="clear" w:color="auto" w:fill="0563C1"/>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3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380" w:type="dxa"/>
            <w:vAlign w:val="bottom"/>
          </w:tcPr>
          <w:p>
            <w:pPr>
              <w:ind w:left="120"/>
              <w:spacing w:after="0"/>
              <w:rPr>
                <w:sz w:val="20"/>
                <w:szCs w:val="20"/>
                <w:color w:val="auto"/>
              </w:rPr>
            </w:pPr>
            <w:r>
              <w:rPr>
                <w:rFonts w:ascii="Arial" w:cs="Arial" w:eastAsia="Arial" w:hAnsi="Arial"/>
                <w:sz w:val="18"/>
                <w:szCs w:val="18"/>
                <w:color w:val="auto"/>
              </w:rPr>
              <w:t>10.13.1</w:t>
            </w:r>
          </w:p>
        </w:tc>
        <w:tc>
          <w:tcPr>
            <w:tcW w:w="9860" w:type="dxa"/>
            <w:vAlign w:val="bottom"/>
            <w:tcBorders>
              <w:bottom w:val="single" w:sz="8" w:color="0563C1"/>
            </w:tcBorders>
            <w:gridSpan w:val="15"/>
          </w:tcPr>
          <w:p>
            <w:pPr>
              <w:spacing w:after="0"/>
              <w:rPr>
                <w:rFonts w:ascii="Arial" w:cs="Arial" w:eastAsia="Arial" w:hAnsi="Arial"/>
                <w:sz w:val="18"/>
                <w:szCs w:val="18"/>
                <w:color w:val="0563C1"/>
                <w:w w:val="94"/>
              </w:rPr>
            </w:pPr>
            <w:hyperlink r:id="rId347">
              <w:r>
                <w:rPr>
                  <w:rFonts w:ascii="Arial" w:cs="Arial" w:eastAsia="Arial" w:hAnsi="Arial"/>
                  <w:sz w:val="18"/>
                  <w:szCs w:val="18"/>
                  <w:color w:val="0563C1"/>
                  <w:w w:val="94"/>
                </w:rPr>
                <w:t>YRC Worldwide Inc. Supplemental Executive Pension Plan, effective January 1, 2005 (incorporated by reference to Exhibit 10.1 to</w:t>
              </w:r>
            </w:hyperlink>
          </w:p>
        </w:tc>
      </w:tr>
      <w:tr>
        <w:trPr>
          <w:trHeight w:val="196"/>
        </w:trPr>
        <w:tc>
          <w:tcPr>
            <w:tcW w:w="1380" w:type="dxa"/>
            <w:vAlign w:val="bottom"/>
          </w:tcPr>
          <w:p>
            <w:pPr>
              <w:spacing w:after="0"/>
              <w:rPr>
                <w:sz w:val="17"/>
                <w:szCs w:val="17"/>
                <w:color w:val="auto"/>
              </w:rPr>
            </w:pPr>
          </w:p>
        </w:tc>
        <w:tc>
          <w:tcPr>
            <w:tcW w:w="5340" w:type="dxa"/>
            <w:vAlign w:val="bottom"/>
            <w:tcBorders>
              <w:bottom w:val="single" w:sz="8" w:color="0563C1"/>
            </w:tcBorders>
            <w:gridSpan w:val="7"/>
          </w:tcPr>
          <w:p>
            <w:pPr>
              <w:spacing w:after="0" w:line="195" w:lineRule="exact"/>
              <w:rPr>
                <w:rFonts w:ascii="Arial" w:cs="Arial" w:eastAsia="Arial" w:hAnsi="Arial"/>
                <w:sz w:val="18"/>
                <w:szCs w:val="18"/>
                <w:color w:val="0563C1"/>
                <w:w w:val="91"/>
              </w:rPr>
            </w:pPr>
            <w:hyperlink r:id="rId347">
              <w:r>
                <w:rPr>
                  <w:rFonts w:ascii="Arial" w:cs="Arial" w:eastAsia="Arial" w:hAnsi="Arial"/>
                  <w:sz w:val="18"/>
                  <w:szCs w:val="18"/>
                  <w:color w:val="0563C1"/>
                  <w:w w:val="91"/>
                </w:rPr>
                <w:t>Current Report on Form 8-K, filed on July 25, 2006, File No. 000-12255).</w:t>
              </w:r>
            </w:hyperlink>
          </w:p>
        </w:tc>
        <w:tc>
          <w:tcPr>
            <w:tcW w:w="4520" w:type="dxa"/>
            <w:vAlign w:val="bottom"/>
            <w:gridSpan w:val="8"/>
          </w:tcPr>
          <w:p>
            <w:pPr>
              <w:spacing w:after="0"/>
              <w:rPr>
                <w:sz w:val="17"/>
                <w:szCs w:val="17"/>
                <w:color w:val="auto"/>
              </w:rPr>
            </w:pPr>
          </w:p>
        </w:tc>
      </w:tr>
      <w:tr>
        <w:trPr>
          <w:trHeight w:val="371"/>
        </w:trPr>
        <w:tc>
          <w:tcPr>
            <w:tcW w:w="1380" w:type="dxa"/>
            <w:vAlign w:val="bottom"/>
          </w:tcPr>
          <w:p>
            <w:pPr>
              <w:ind w:left="120"/>
              <w:spacing w:after="0"/>
              <w:rPr>
                <w:sz w:val="20"/>
                <w:szCs w:val="20"/>
                <w:color w:val="auto"/>
              </w:rPr>
            </w:pPr>
            <w:r>
              <w:rPr>
                <w:rFonts w:ascii="Arial" w:cs="Arial" w:eastAsia="Arial" w:hAnsi="Arial"/>
                <w:sz w:val="18"/>
                <w:szCs w:val="18"/>
                <w:color w:val="auto"/>
              </w:rPr>
              <w:t>10.13.2</w:t>
            </w:r>
          </w:p>
        </w:tc>
        <w:tc>
          <w:tcPr>
            <w:tcW w:w="9860" w:type="dxa"/>
            <w:vAlign w:val="bottom"/>
            <w:tcBorders>
              <w:bottom w:val="single" w:sz="8" w:color="0563C1"/>
            </w:tcBorders>
            <w:gridSpan w:val="15"/>
          </w:tcPr>
          <w:p>
            <w:pPr>
              <w:spacing w:after="0"/>
              <w:rPr>
                <w:rFonts w:ascii="Arial" w:cs="Arial" w:eastAsia="Arial" w:hAnsi="Arial"/>
                <w:sz w:val="18"/>
                <w:szCs w:val="18"/>
                <w:color w:val="0563C1"/>
                <w:w w:val="91"/>
              </w:rPr>
            </w:pPr>
            <w:hyperlink r:id="rId348">
              <w:r>
                <w:rPr>
                  <w:rFonts w:ascii="Arial" w:cs="Arial" w:eastAsia="Arial" w:hAnsi="Arial"/>
                  <w:sz w:val="18"/>
                  <w:szCs w:val="18"/>
                  <w:color w:val="0563C1"/>
                  <w:w w:val="91"/>
                </w:rPr>
                <w:t>Amendment to YRC Worldwide Inc. Supplemental Executive Pension Plan (incorporated by reference to Exhibit 10.3 to Current Report</w:t>
              </w:r>
            </w:hyperlink>
          </w:p>
        </w:tc>
      </w:tr>
      <w:tr>
        <w:trPr>
          <w:trHeight w:val="196"/>
        </w:trPr>
        <w:tc>
          <w:tcPr>
            <w:tcW w:w="1380" w:type="dxa"/>
            <w:vAlign w:val="bottom"/>
          </w:tcPr>
          <w:p>
            <w:pPr>
              <w:spacing w:after="0"/>
              <w:rPr>
                <w:sz w:val="17"/>
                <w:szCs w:val="17"/>
                <w:color w:val="auto"/>
              </w:rPr>
            </w:pPr>
          </w:p>
        </w:tc>
        <w:tc>
          <w:tcPr>
            <w:tcW w:w="9860" w:type="dxa"/>
            <w:vAlign w:val="bottom"/>
            <w:gridSpan w:val="15"/>
          </w:tcPr>
          <w:p>
            <w:pPr>
              <w:spacing w:after="0" w:line="195" w:lineRule="exact"/>
              <w:rPr>
                <w:rFonts w:ascii="Arial" w:cs="Arial" w:eastAsia="Arial" w:hAnsi="Arial"/>
                <w:sz w:val="18"/>
                <w:szCs w:val="18"/>
                <w:color w:val="0563C1"/>
              </w:rPr>
            </w:pPr>
            <w:hyperlink r:id="rId348">
              <w:r>
                <w:rPr>
                  <w:rFonts w:ascii="Arial" w:cs="Arial" w:eastAsia="Arial" w:hAnsi="Arial"/>
                  <w:sz w:val="18"/>
                  <w:szCs w:val="18"/>
                  <w:color w:val="0563C1"/>
                </w:rPr>
                <w:t>on Form 8-K, filed on July 8, 2008, File No. 000-12255).</w:t>
              </w:r>
            </w:hyperlink>
          </w:p>
        </w:tc>
      </w:tr>
      <w:tr>
        <w:trPr>
          <w:trHeight w:val="20"/>
        </w:trPr>
        <w:tc>
          <w:tcPr>
            <w:tcW w:w="1380" w:type="dxa"/>
            <w:vAlign w:val="bottom"/>
          </w:tcPr>
          <w:p>
            <w:pPr>
              <w:spacing w:after="0" w:line="20" w:lineRule="exact"/>
              <w:rPr>
                <w:sz w:val="1"/>
                <w:szCs w:val="1"/>
                <w:color w:val="auto"/>
              </w:rPr>
            </w:pPr>
          </w:p>
        </w:tc>
        <w:tc>
          <w:tcPr>
            <w:tcW w:w="4120" w:type="dxa"/>
            <w:vAlign w:val="bottom"/>
            <w:gridSpan w:val="3"/>
            <w:shd w:val="clear" w:color="auto" w:fill="0563C1"/>
          </w:tcPr>
          <w:p>
            <w:pPr>
              <w:spacing w:after="0" w:line="20" w:lineRule="exact"/>
              <w:rPr>
                <w:sz w:val="1"/>
                <w:szCs w:val="1"/>
                <w:color w:val="auto"/>
              </w:rPr>
            </w:pPr>
          </w:p>
        </w:tc>
        <w:tc>
          <w:tcPr>
            <w:tcW w:w="186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3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380" w:type="dxa"/>
            <w:vAlign w:val="bottom"/>
          </w:tcPr>
          <w:p>
            <w:pPr>
              <w:ind w:left="120"/>
              <w:spacing w:after="0"/>
              <w:rPr>
                <w:sz w:val="20"/>
                <w:szCs w:val="20"/>
                <w:color w:val="auto"/>
              </w:rPr>
            </w:pPr>
            <w:r>
              <w:rPr>
                <w:rFonts w:ascii="Arial" w:cs="Arial" w:eastAsia="Arial" w:hAnsi="Arial"/>
                <w:sz w:val="18"/>
                <w:szCs w:val="18"/>
                <w:color w:val="auto"/>
              </w:rPr>
              <w:t>10.13.3</w:t>
            </w:r>
          </w:p>
        </w:tc>
        <w:tc>
          <w:tcPr>
            <w:tcW w:w="9860" w:type="dxa"/>
            <w:vAlign w:val="bottom"/>
            <w:tcBorders>
              <w:bottom w:val="single" w:sz="8" w:color="0563C1"/>
            </w:tcBorders>
            <w:gridSpan w:val="15"/>
          </w:tcPr>
          <w:p>
            <w:pPr>
              <w:spacing w:after="0"/>
              <w:rPr>
                <w:rFonts w:ascii="Arial" w:cs="Arial" w:eastAsia="Arial" w:hAnsi="Arial"/>
                <w:sz w:val="18"/>
                <w:szCs w:val="18"/>
                <w:color w:val="0563C1"/>
                <w:w w:val="94"/>
              </w:rPr>
            </w:pPr>
            <w:hyperlink r:id="rId349">
              <w:r>
                <w:rPr>
                  <w:rFonts w:ascii="Arial" w:cs="Arial" w:eastAsia="Arial" w:hAnsi="Arial"/>
                  <w:sz w:val="18"/>
                  <w:szCs w:val="18"/>
                  <w:color w:val="0563C1"/>
                  <w:w w:val="94"/>
                </w:rPr>
                <w:t>Second Amendment to YRC Worldwide Inc. Supplemental Executive Pension Plan (incorporated by reference to Exhibit 10.30.3 to</w:t>
              </w:r>
            </w:hyperlink>
          </w:p>
        </w:tc>
      </w:tr>
      <w:tr>
        <w:trPr>
          <w:trHeight w:val="196"/>
        </w:trPr>
        <w:tc>
          <w:tcPr>
            <w:tcW w:w="1380" w:type="dxa"/>
            <w:vAlign w:val="bottom"/>
          </w:tcPr>
          <w:p>
            <w:pPr>
              <w:spacing w:after="0"/>
              <w:rPr>
                <w:sz w:val="17"/>
                <w:szCs w:val="17"/>
                <w:color w:val="auto"/>
              </w:rPr>
            </w:pPr>
          </w:p>
        </w:tc>
        <w:tc>
          <w:tcPr>
            <w:tcW w:w="9860" w:type="dxa"/>
            <w:vAlign w:val="bottom"/>
            <w:gridSpan w:val="15"/>
          </w:tcPr>
          <w:p>
            <w:pPr>
              <w:spacing w:after="0" w:line="195" w:lineRule="exact"/>
              <w:rPr>
                <w:rFonts w:ascii="Arial" w:cs="Arial" w:eastAsia="Arial" w:hAnsi="Arial"/>
                <w:sz w:val="18"/>
                <w:szCs w:val="18"/>
                <w:color w:val="0563C1"/>
              </w:rPr>
            </w:pPr>
            <w:hyperlink r:id="rId349">
              <w:r>
                <w:rPr>
                  <w:rFonts w:ascii="Arial" w:cs="Arial" w:eastAsia="Arial" w:hAnsi="Arial"/>
                  <w:sz w:val="18"/>
                  <w:szCs w:val="18"/>
                  <w:color w:val="0563C1"/>
                </w:rPr>
                <w:t>Annual Report on Form 10-K for the year ended December 31, 2011, File No. 000-12255).</w:t>
              </w:r>
            </w:hyperlink>
          </w:p>
        </w:tc>
      </w:tr>
      <w:tr>
        <w:trPr>
          <w:trHeight w:val="20"/>
        </w:trPr>
        <w:tc>
          <w:tcPr>
            <w:tcW w:w="1380" w:type="dxa"/>
            <w:vAlign w:val="bottom"/>
          </w:tcPr>
          <w:p>
            <w:pPr>
              <w:spacing w:after="0" w:line="20" w:lineRule="exact"/>
              <w:rPr>
                <w:sz w:val="1"/>
                <w:szCs w:val="1"/>
                <w:color w:val="auto"/>
              </w:rPr>
            </w:pPr>
          </w:p>
        </w:tc>
        <w:tc>
          <w:tcPr>
            <w:tcW w:w="5980" w:type="dxa"/>
            <w:vAlign w:val="bottom"/>
            <w:gridSpan w:val="9"/>
            <w:shd w:val="clear" w:color="auto" w:fill="0563C1"/>
          </w:tcPr>
          <w:p>
            <w:pPr>
              <w:spacing w:after="0" w:line="20" w:lineRule="exact"/>
              <w:rPr>
                <w:sz w:val="1"/>
                <w:szCs w:val="1"/>
                <w:color w:val="auto"/>
              </w:rPr>
            </w:pPr>
          </w:p>
        </w:tc>
        <w:tc>
          <w:tcPr>
            <w:tcW w:w="560" w:type="dxa"/>
            <w:vAlign w:val="bottom"/>
            <w:shd w:val="clear" w:color="auto" w:fill="0563C1"/>
          </w:tcPr>
          <w:p>
            <w:pPr>
              <w:spacing w:after="0" w:line="20" w:lineRule="exact"/>
              <w:rPr>
                <w:sz w:val="1"/>
                <w:szCs w:val="1"/>
                <w:color w:val="auto"/>
              </w:rPr>
            </w:pPr>
          </w:p>
        </w:tc>
        <w:tc>
          <w:tcPr>
            <w:tcW w:w="33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380" w:type="dxa"/>
            <w:vAlign w:val="bottom"/>
          </w:tcPr>
          <w:p>
            <w:pPr>
              <w:ind w:left="120"/>
              <w:spacing w:after="0"/>
              <w:rPr>
                <w:sz w:val="20"/>
                <w:szCs w:val="20"/>
                <w:color w:val="auto"/>
              </w:rPr>
            </w:pPr>
            <w:r>
              <w:rPr>
                <w:rFonts w:ascii="Arial" w:cs="Arial" w:eastAsia="Arial" w:hAnsi="Arial"/>
                <w:sz w:val="18"/>
                <w:szCs w:val="18"/>
                <w:color w:val="auto"/>
              </w:rPr>
              <w:t>10.14.1</w:t>
            </w:r>
          </w:p>
        </w:tc>
        <w:tc>
          <w:tcPr>
            <w:tcW w:w="9840" w:type="dxa"/>
            <w:vAlign w:val="bottom"/>
            <w:tcBorders>
              <w:bottom w:val="single" w:sz="8" w:color="0563C1"/>
            </w:tcBorders>
            <w:gridSpan w:val="14"/>
          </w:tcPr>
          <w:p>
            <w:pPr>
              <w:spacing w:after="0"/>
              <w:rPr>
                <w:rFonts w:ascii="Arial" w:cs="Arial" w:eastAsia="Arial" w:hAnsi="Arial"/>
                <w:sz w:val="18"/>
                <w:szCs w:val="18"/>
                <w:color w:val="0563C1"/>
                <w:w w:val="90"/>
              </w:rPr>
            </w:pPr>
            <w:hyperlink r:id="rId350">
              <w:r>
                <w:rPr>
                  <w:rFonts w:ascii="Arial" w:cs="Arial" w:eastAsia="Arial" w:hAnsi="Arial"/>
                  <w:sz w:val="18"/>
                  <w:szCs w:val="18"/>
                  <w:color w:val="0563C1"/>
                  <w:w w:val="90"/>
                </w:rPr>
                <w:t>Yellow Corporation Pension Plan, as amended and restated as of January 1, 2004 (incorporated by reference to Exhibit 10.27 to Annual</w:t>
              </w:r>
            </w:hyperlink>
          </w:p>
        </w:tc>
        <w:tc>
          <w:tcPr>
            <w:tcW w:w="20" w:type="dxa"/>
            <w:vAlign w:val="bottom"/>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9860" w:type="dxa"/>
            <w:vAlign w:val="bottom"/>
            <w:gridSpan w:val="15"/>
          </w:tcPr>
          <w:p>
            <w:pPr>
              <w:spacing w:after="0" w:line="195" w:lineRule="exact"/>
              <w:rPr>
                <w:rFonts w:ascii="Arial" w:cs="Arial" w:eastAsia="Arial" w:hAnsi="Arial"/>
                <w:sz w:val="18"/>
                <w:szCs w:val="18"/>
                <w:color w:val="0563C1"/>
              </w:rPr>
            </w:pPr>
            <w:hyperlink r:id="rId350">
              <w:r>
                <w:rPr>
                  <w:rFonts w:ascii="Arial" w:cs="Arial" w:eastAsia="Arial" w:hAnsi="Arial"/>
                  <w:sz w:val="18"/>
                  <w:szCs w:val="18"/>
                  <w:color w:val="0563C1"/>
                </w:rPr>
                <w:t>Report on Form 10-K for the year ended December 31, 2003, File No. 000-12255).</w:t>
              </w:r>
            </w:hyperlink>
          </w:p>
        </w:tc>
      </w:tr>
      <w:tr>
        <w:trPr>
          <w:trHeight w:val="614"/>
        </w:trPr>
        <w:tc>
          <w:tcPr>
            <w:tcW w:w="1380" w:type="dxa"/>
            <w:vAlign w:val="bottom"/>
          </w:tcPr>
          <w:p>
            <w:pPr>
              <w:spacing w:after="0"/>
              <w:rPr>
                <w:sz w:val="24"/>
                <w:szCs w:val="24"/>
                <w:color w:val="auto"/>
              </w:rPr>
            </w:pPr>
          </w:p>
        </w:tc>
        <w:tc>
          <w:tcPr>
            <w:tcW w:w="4380" w:type="dxa"/>
            <w:vAlign w:val="bottom"/>
            <w:tcBorders>
              <w:top w:val="single" w:sz="8" w:color="0563C1"/>
            </w:tcBorders>
            <w:gridSpan w:val="4"/>
          </w:tcPr>
          <w:p>
            <w:pPr>
              <w:ind w:left="4160"/>
              <w:spacing w:after="0"/>
              <w:rPr>
                <w:sz w:val="20"/>
                <w:szCs w:val="20"/>
                <w:color w:val="auto"/>
              </w:rPr>
            </w:pPr>
            <w:r>
              <w:rPr>
                <w:rFonts w:ascii="Arial" w:cs="Arial" w:eastAsia="Arial" w:hAnsi="Arial"/>
                <w:sz w:val="18"/>
                <w:szCs w:val="18"/>
                <w:color w:val="auto"/>
                <w:w w:val="89"/>
              </w:rPr>
              <w:t>70</w:t>
            </w:r>
          </w:p>
        </w:tc>
        <w:tc>
          <w:tcPr>
            <w:tcW w:w="240" w:type="dxa"/>
            <w:vAlign w:val="bottom"/>
            <w:tcBorders>
              <w:top w:val="single" w:sz="8" w:color="0563C1"/>
            </w:tcBorders>
          </w:tcPr>
          <w:p>
            <w:pPr>
              <w:spacing w:after="0"/>
              <w:rPr>
                <w:sz w:val="24"/>
                <w:szCs w:val="24"/>
                <w:color w:val="auto"/>
              </w:rPr>
            </w:pPr>
          </w:p>
        </w:tc>
        <w:tc>
          <w:tcPr>
            <w:tcW w:w="400" w:type="dxa"/>
            <w:vAlign w:val="bottom"/>
            <w:tcBorders>
              <w:top w:val="single" w:sz="8" w:color="0563C1"/>
            </w:tcBorders>
          </w:tcPr>
          <w:p>
            <w:pPr>
              <w:spacing w:after="0"/>
              <w:rPr>
                <w:sz w:val="24"/>
                <w:szCs w:val="24"/>
                <w:color w:val="auto"/>
              </w:rPr>
            </w:pPr>
          </w:p>
        </w:tc>
        <w:tc>
          <w:tcPr>
            <w:tcW w:w="320" w:type="dxa"/>
            <w:vAlign w:val="bottom"/>
            <w:tcBorders>
              <w:top w:val="single" w:sz="8" w:color="0563C1"/>
            </w:tcBorders>
          </w:tcPr>
          <w:p>
            <w:pPr>
              <w:spacing w:after="0"/>
              <w:rPr>
                <w:sz w:val="24"/>
                <w:szCs w:val="24"/>
                <w:color w:val="auto"/>
              </w:rPr>
            </w:pPr>
          </w:p>
        </w:tc>
        <w:tc>
          <w:tcPr>
            <w:tcW w:w="420" w:type="dxa"/>
            <w:vAlign w:val="bottom"/>
            <w:tcBorders>
              <w:top w:val="single" w:sz="8" w:color="0563C1"/>
            </w:tcBorders>
          </w:tcPr>
          <w:p>
            <w:pPr>
              <w:spacing w:after="0"/>
              <w:rPr>
                <w:sz w:val="24"/>
                <w:szCs w:val="24"/>
                <w:color w:val="auto"/>
              </w:rPr>
            </w:pPr>
          </w:p>
        </w:tc>
        <w:tc>
          <w:tcPr>
            <w:tcW w:w="220" w:type="dxa"/>
            <w:vAlign w:val="bottom"/>
            <w:tcBorders>
              <w:top w:val="single" w:sz="8" w:color="0563C1"/>
            </w:tcBorders>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38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18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5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07"/>
        </w:trPr>
        <w:tc>
          <w:tcPr>
            <w:tcW w:w="1380" w:type="dxa"/>
            <w:vAlign w:val="bottom"/>
          </w:tcPr>
          <w:p>
            <w:pPr>
              <w:ind w:left="120"/>
              <w:spacing w:after="0"/>
              <w:rPr>
                <w:sz w:val="20"/>
                <w:szCs w:val="20"/>
                <w:color w:val="auto"/>
              </w:rPr>
            </w:pPr>
            <w:r>
              <w:rPr>
                <w:rFonts w:ascii="Arial" w:cs="Arial" w:eastAsia="Arial" w:hAnsi="Arial"/>
                <w:sz w:val="18"/>
                <w:szCs w:val="18"/>
                <w:color w:val="auto"/>
              </w:rPr>
              <w:t>10.14.2</w:t>
            </w:r>
          </w:p>
        </w:tc>
        <w:tc>
          <w:tcPr>
            <w:tcW w:w="9860" w:type="dxa"/>
            <w:vAlign w:val="bottom"/>
            <w:tcBorders>
              <w:bottom w:val="single" w:sz="8" w:color="0563C1"/>
            </w:tcBorders>
            <w:gridSpan w:val="18"/>
          </w:tcPr>
          <w:p>
            <w:pPr>
              <w:spacing w:after="0"/>
              <w:rPr>
                <w:rFonts w:ascii="Arial" w:cs="Arial" w:eastAsia="Arial" w:hAnsi="Arial"/>
                <w:sz w:val="18"/>
                <w:szCs w:val="18"/>
                <w:color w:val="0563C1"/>
                <w:w w:val="92"/>
              </w:rPr>
            </w:pPr>
            <w:hyperlink r:id="rId353">
              <w:r>
                <w:rPr>
                  <w:rFonts w:ascii="Arial" w:cs="Arial" w:eastAsia="Arial" w:hAnsi="Arial"/>
                  <w:sz w:val="18"/>
                  <w:szCs w:val="18"/>
                  <w:color w:val="0563C1"/>
                  <w:w w:val="92"/>
                </w:rPr>
                <w:t>Amendment No. 1 to Yellow Corporation Pension Plan, as amended and restated as of January 1, 2004 (incorporated by reference to</w:t>
              </w:r>
            </w:hyperlink>
          </w:p>
        </w:tc>
      </w:tr>
      <w:tr>
        <w:trPr>
          <w:trHeight w:val="196"/>
        </w:trPr>
        <w:tc>
          <w:tcPr>
            <w:tcW w:w="1380" w:type="dxa"/>
            <w:vAlign w:val="bottom"/>
          </w:tcPr>
          <w:p>
            <w:pPr>
              <w:spacing w:after="0"/>
              <w:rPr>
                <w:sz w:val="17"/>
                <w:szCs w:val="17"/>
                <w:color w:val="auto"/>
              </w:rPr>
            </w:pPr>
          </w:p>
        </w:tc>
        <w:tc>
          <w:tcPr>
            <w:tcW w:w="8060" w:type="dxa"/>
            <w:vAlign w:val="bottom"/>
            <w:tcBorders>
              <w:bottom w:val="single" w:sz="8" w:color="0563C1"/>
            </w:tcBorders>
            <w:gridSpan w:val="15"/>
          </w:tcPr>
          <w:p>
            <w:pPr>
              <w:spacing w:after="0" w:line="195" w:lineRule="exact"/>
              <w:rPr>
                <w:rFonts w:ascii="Arial" w:cs="Arial" w:eastAsia="Arial" w:hAnsi="Arial"/>
                <w:sz w:val="18"/>
                <w:szCs w:val="18"/>
                <w:color w:val="0563C1"/>
                <w:w w:val="90"/>
              </w:rPr>
            </w:pPr>
            <w:hyperlink r:id="rId353">
              <w:r>
                <w:rPr>
                  <w:rFonts w:ascii="Arial" w:cs="Arial" w:eastAsia="Arial" w:hAnsi="Arial"/>
                  <w:sz w:val="18"/>
                  <w:szCs w:val="18"/>
                  <w:color w:val="0563C1"/>
                  <w:w w:val="90"/>
                </w:rPr>
                <w:t>Exhibit 10.2 to Quarterly Report on Form 10-Q for the quarter ended September 30, 2005, File No. 000-12255).</w:t>
              </w:r>
            </w:hyperlink>
          </w:p>
        </w:tc>
        <w:tc>
          <w:tcPr>
            <w:tcW w:w="1800" w:type="dxa"/>
            <w:vAlign w:val="bottom"/>
            <w:gridSpan w:val="3"/>
          </w:tcPr>
          <w:p>
            <w:pPr>
              <w:spacing w:after="0"/>
              <w:rPr>
                <w:sz w:val="17"/>
                <w:szCs w:val="17"/>
                <w:color w:val="auto"/>
              </w:rPr>
            </w:pPr>
          </w:p>
        </w:tc>
      </w:tr>
      <w:tr>
        <w:trPr>
          <w:trHeight w:val="371"/>
        </w:trPr>
        <w:tc>
          <w:tcPr>
            <w:tcW w:w="1380" w:type="dxa"/>
            <w:vAlign w:val="bottom"/>
          </w:tcPr>
          <w:p>
            <w:pPr>
              <w:ind w:left="120"/>
              <w:spacing w:after="0"/>
              <w:rPr>
                <w:sz w:val="20"/>
                <w:szCs w:val="20"/>
                <w:color w:val="auto"/>
              </w:rPr>
            </w:pPr>
            <w:r>
              <w:rPr>
                <w:rFonts w:ascii="Arial" w:cs="Arial" w:eastAsia="Arial" w:hAnsi="Arial"/>
                <w:sz w:val="18"/>
                <w:szCs w:val="18"/>
                <w:color w:val="auto"/>
              </w:rPr>
              <w:t>10.14.3</w:t>
            </w:r>
          </w:p>
        </w:tc>
        <w:tc>
          <w:tcPr>
            <w:tcW w:w="9860" w:type="dxa"/>
            <w:vAlign w:val="bottom"/>
            <w:tcBorders>
              <w:bottom w:val="single" w:sz="8" w:color="0563C1"/>
            </w:tcBorders>
            <w:gridSpan w:val="18"/>
          </w:tcPr>
          <w:p>
            <w:pPr>
              <w:spacing w:after="0"/>
              <w:rPr>
                <w:rFonts w:ascii="Arial" w:cs="Arial" w:eastAsia="Arial" w:hAnsi="Arial"/>
                <w:sz w:val="18"/>
                <w:szCs w:val="18"/>
                <w:color w:val="0563C1"/>
                <w:w w:val="92"/>
              </w:rPr>
            </w:pPr>
            <w:hyperlink r:id="rId354">
              <w:r>
                <w:rPr>
                  <w:rFonts w:ascii="Arial" w:cs="Arial" w:eastAsia="Arial" w:hAnsi="Arial"/>
                  <w:sz w:val="18"/>
                  <w:szCs w:val="18"/>
                  <w:color w:val="0563C1"/>
                  <w:w w:val="92"/>
                </w:rPr>
                <w:t>Amendment No. 2 to Yellow Corporation Pension Plan, as amended and restated as of January 1, 2004 (incorporated by reference to</w:t>
              </w:r>
            </w:hyperlink>
          </w:p>
        </w:tc>
      </w:tr>
      <w:tr>
        <w:trPr>
          <w:trHeight w:val="196"/>
        </w:trPr>
        <w:tc>
          <w:tcPr>
            <w:tcW w:w="1380" w:type="dxa"/>
            <w:vAlign w:val="bottom"/>
          </w:tcPr>
          <w:p>
            <w:pPr>
              <w:spacing w:after="0"/>
              <w:rPr>
                <w:sz w:val="17"/>
                <w:szCs w:val="17"/>
                <w:color w:val="auto"/>
              </w:rPr>
            </w:pPr>
          </w:p>
        </w:tc>
        <w:tc>
          <w:tcPr>
            <w:tcW w:w="7900" w:type="dxa"/>
            <w:vAlign w:val="bottom"/>
            <w:tcBorders>
              <w:bottom w:val="single" w:sz="8" w:color="0563C1"/>
            </w:tcBorders>
            <w:gridSpan w:val="14"/>
          </w:tcPr>
          <w:p>
            <w:pPr>
              <w:spacing w:after="0" w:line="195" w:lineRule="exact"/>
              <w:rPr>
                <w:rFonts w:ascii="Arial" w:cs="Arial" w:eastAsia="Arial" w:hAnsi="Arial"/>
                <w:sz w:val="18"/>
                <w:szCs w:val="18"/>
                <w:color w:val="0563C1"/>
                <w:w w:val="91"/>
              </w:rPr>
            </w:pPr>
            <w:hyperlink r:id="rId354">
              <w:r>
                <w:rPr>
                  <w:rFonts w:ascii="Arial" w:cs="Arial" w:eastAsia="Arial" w:hAnsi="Arial"/>
                  <w:sz w:val="18"/>
                  <w:szCs w:val="18"/>
                  <w:color w:val="0563C1"/>
                  <w:w w:val="91"/>
                </w:rPr>
                <w:t>Exhibit 10.28.3 to Annual Report on Form 10-K for the year ended December 31, 2010, File No. 000-12255).</w:t>
              </w:r>
            </w:hyperlink>
          </w:p>
        </w:tc>
        <w:tc>
          <w:tcPr>
            <w:tcW w:w="1960" w:type="dxa"/>
            <w:vAlign w:val="bottom"/>
            <w:gridSpan w:val="4"/>
          </w:tcPr>
          <w:p>
            <w:pPr>
              <w:spacing w:after="0"/>
              <w:rPr>
                <w:sz w:val="17"/>
                <w:szCs w:val="17"/>
                <w:color w:val="auto"/>
              </w:rPr>
            </w:pPr>
          </w:p>
        </w:tc>
      </w:tr>
      <w:tr>
        <w:trPr>
          <w:trHeight w:val="371"/>
        </w:trPr>
        <w:tc>
          <w:tcPr>
            <w:tcW w:w="1380" w:type="dxa"/>
            <w:vAlign w:val="bottom"/>
          </w:tcPr>
          <w:p>
            <w:pPr>
              <w:ind w:left="120"/>
              <w:spacing w:after="0"/>
              <w:rPr>
                <w:sz w:val="20"/>
                <w:szCs w:val="20"/>
                <w:color w:val="auto"/>
              </w:rPr>
            </w:pPr>
            <w:r>
              <w:rPr>
                <w:rFonts w:ascii="Arial" w:cs="Arial" w:eastAsia="Arial" w:hAnsi="Arial"/>
                <w:sz w:val="18"/>
                <w:szCs w:val="18"/>
                <w:color w:val="auto"/>
              </w:rPr>
              <w:t>10.14.4</w:t>
            </w:r>
          </w:p>
        </w:tc>
        <w:tc>
          <w:tcPr>
            <w:tcW w:w="9860" w:type="dxa"/>
            <w:vAlign w:val="bottom"/>
            <w:tcBorders>
              <w:bottom w:val="single" w:sz="8" w:color="0563C1"/>
            </w:tcBorders>
            <w:gridSpan w:val="18"/>
          </w:tcPr>
          <w:p>
            <w:pPr>
              <w:spacing w:after="0"/>
              <w:rPr>
                <w:rFonts w:ascii="Arial" w:cs="Arial" w:eastAsia="Arial" w:hAnsi="Arial"/>
                <w:sz w:val="18"/>
                <w:szCs w:val="18"/>
                <w:color w:val="0563C1"/>
                <w:w w:val="92"/>
              </w:rPr>
            </w:pPr>
            <w:hyperlink r:id="rId355">
              <w:r>
                <w:rPr>
                  <w:rFonts w:ascii="Arial" w:cs="Arial" w:eastAsia="Arial" w:hAnsi="Arial"/>
                  <w:sz w:val="18"/>
                  <w:szCs w:val="18"/>
                  <w:color w:val="0563C1"/>
                  <w:w w:val="92"/>
                </w:rPr>
                <w:t>Amendment No. 3 to Yellow Corporation Pension Plan, as amended and restated as of January 1, 2004 (incorporated by reference to</w:t>
              </w:r>
            </w:hyperlink>
          </w:p>
        </w:tc>
      </w:tr>
      <w:tr>
        <w:trPr>
          <w:trHeight w:val="196"/>
        </w:trPr>
        <w:tc>
          <w:tcPr>
            <w:tcW w:w="1380" w:type="dxa"/>
            <w:vAlign w:val="bottom"/>
          </w:tcPr>
          <w:p>
            <w:pPr>
              <w:spacing w:after="0"/>
              <w:rPr>
                <w:sz w:val="17"/>
                <w:szCs w:val="17"/>
                <w:color w:val="auto"/>
              </w:rPr>
            </w:pPr>
          </w:p>
        </w:tc>
        <w:tc>
          <w:tcPr>
            <w:tcW w:w="9860" w:type="dxa"/>
            <w:vAlign w:val="bottom"/>
            <w:gridSpan w:val="18"/>
          </w:tcPr>
          <w:p>
            <w:pPr>
              <w:spacing w:after="0" w:line="195" w:lineRule="exact"/>
              <w:rPr>
                <w:rFonts w:ascii="Arial" w:cs="Arial" w:eastAsia="Arial" w:hAnsi="Arial"/>
                <w:sz w:val="18"/>
                <w:szCs w:val="18"/>
                <w:color w:val="0563C1"/>
              </w:rPr>
            </w:pPr>
            <w:hyperlink r:id="rId355">
              <w:r>
                <w:rPr>
                  <w:rFonts w:ascii="Arial" w:cs="Arial" w:eastAsia="Arial" w:hAnsi="Arial"/>
                  <w:sz w:val="18"/>
                  <w:szCs w:val="18"/>
                  <w:color w:val="0563C1"/>
                </w:rPr>
                <w:t>Exhibit 10.2 to Current Report on Form 8-K, filed on July 8, 2008, File No. 000-12255).</w:t>
              </w:r>
            </w:hyperlink>
          </w:p>
        </w:tc>
      </w:tr>
      <w:tr>
        <w:trPr>
          <w:trHeight w:val="20"/>
        </w:trPr>
        <w:tc>
          <w:tcPr>
            <w:tcW w:w="1380" w:type="dxa"/>
            <w:vAlign w:val="bottom"/>
          </w:tcPr>
          <w:p>
            <w:pPr>
              <w:spacing w:after="0" w:line="20" w:lineRule="exact"/>
              <w:rPr>
                <w:sz w:val="1"/>
                <w:szCs w:val="1"/>
                <w:color w:val="auto"/>
              </w:rPr>
            </w:pPr>
          </w:p>
        </w:tc>
        <w:tc>
          <w:tcPr>
            <w:tcW w:w="560" w:type="dxa"/>
            <w:vAlign w:val="bottom"/>
            <w:shd w:val="clear" w:color="auto" w:fill="0563C1"/>
          </w:tcPr>
          <w:p>
            <w:pPr>
              <w:spacing w:after="0" w:line="20" w:lineRule="exact"/>
              <w:rPr>
                <w:sz w:val="1"/>
                <w:szCs w:val="1"/>
                <w:color w:val="auto"/>
              </w:rPr>
            </w:pPr>
          </w:p>
        </w:tc>
        <w:tc>
          <w:tcPr>
            <w:tcW w:w="280" w:type="dxa"/>
            <w:vAlign w:val="bottom"/>
            <w:shd w:val="clear" w:color="auto" w:fill="0563C1"/>
          </w:tcPr>
          <w:p>
            <w:pPr>
              <w:spacing w:after="0" w:line="20" w:lineRule="exact"/>
              <w:rPr>
                <w:sz w:val="1"/>
                <w:szCs w:val="1"/>
                <w:color w:val="auto"/>
              </w:rPr>
            </w:pPr>
          </w:p>
        </w:tc>
        <w:tc>
          <w:tcPr>
            <w:tcW w:w="108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100" w:type="dxa"/>
            <w:vAlign w:val="bottom"/>
            <w:shd w:val="clear" w:color="auto" w:fill="0563C1"/>
          </w:tcPr>
          <w:p>
            <w:pPr>
              <w:spacing w:after="0" w:line="20" w:lineRule="exact"/>
              <w:rPr>
                <w:sz w:val="1"/>
                <w:szCs w:val="1"/>
                <w:color w:val="auto"/>
              </w:rPr>
            </w:pPr>
          </w:p>
        </w:tc>
        <w:tc>
          <w:tcPr>
            <w:tcW w:w="760" w:type="dxa"/>
            <w:vAlign w:val="bottom"/>
            <w:shd w:val="clear" w:color="auto" w:fill="0563C1"/>
          </w:tcPr>
          <w:p>
            <w:pPr>
              <w:spacing w:after="0" w:line="20" w:lineRule="exact"/>
              <w:rPr>
                <w:sz w:val="1"/>
                <w:szCs w:val="1"/>
                <w:color w:val="auto"/>
              </w:rPr>
            </w:pPr>
          </w:p>
        </w:tc>
        <w:tc>
          <w:tcPr>
            <w:tcW w:w="1340" w:type="dxa"/>
            <w:vAlign w:val="bottom"/>
            <w:shd w:val="clear" w:color="auto" w:fill="0563C1"/>
          </w:tcPr>
          <w:p>
            <w:pPr>
              <w:spacing w:after="0" w:line="20" w:lineRule="exact"/>
              <w:rPr>
                <w:sz w:val="1"/>
                <w:szCs w:val="1"/>
                <w:color w:val="auto"/>
              </w:rPr>
            </w:pPr>
          </w:p>
        </w:tc>
        <w:tc>
          <w:tcPr>
            <w:tcW w:w="660" w:type="dxa"/>
            <w:vAlign w:val="bottom"/>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380" w:type="dxa"/>
            <w:vAlign w:val="bottom"/>
          </w:tcPr>
          <w:p>
            <w:pPr>
              <w:ind w:left="120"/>
              <w:spacing w:after="0"/>
              <w:rPr>
                <w:sz w:val="20"/>
                <w:szCs w:val="20"/>
                <w:color w:val="auto"/>
              </w:rPr>
            </w:pPr>
            <w:r>
              <w:rPr>
                <w:rFonts w:ascii="Arial" w:cs="Arial" w:eastAsia="Arial" w:hAnsi="Arial"/>
                <w:sz w:val="18"/>
                <w:szCs w:val="18"/>
                <w:color w:val="auto"/>
              </w:rPr>
              <w:t>10.14.5</w:t>
            </w:r>
          </w:p>
        </w:tc>
        <w:tc>
          <w:tcPr>
            <w:tcW w:w="9860" w:type="dxa"/>
            <w:vAlign w:val="bottom"/>
            <w:tcBorders>
              <w:bottom w:val="single" w:sz="8" w:color="0563C1"/>
            </w:tcBorders>
            <w:gridSpan w:val="18"/>
          </w:tcPr>
          <w:p>
            <w:pPr>
              <w:spacing w:after="0"/>
              <w:rPr>
                <w:rFonts w:ascii="Arial" w:cs="Arial" w:eastAsia="Arial" w:hAnsi="Arial"/>
                <w:sz w:val="18"/>
                <w:szCs w:val="18"/>
                <w:color w:val="0563C1"/>
                <w:w w:val="92"/>
              </w:rPr>
            </w:pPr>
            <w:hyperlink r:id="rId356">
              <w:r>
                <w:rPr>
                  <w:rFonts w:ascii="Arial" w:cs="Arial" w:eastAsia="Arial" w:hAnsi="Arial"/>
                  <w:sz w:val="18"/>
                  <w:szCs w:val="18"/>
                  <w:color w:val="0563C1"/>
                  <w:w w:val="92"/>
                </w:rPr>
                <w:t>Amendment No. 4 to Yellow Corporation Pension Plan, as amended and restated as of January 1, 2004 (incorporated by reference to</w:t>
              </w:r>
            </w:hyperlink>
          </w:p>
        </w:tc>
      </w:tr>
      <w:tr>
        <w:trPr>
          <w:trHeight w:val="196"/>
        </w:trPr>
        <w:tc>
          <w:tcPr>
            <w:tcW w:w="1380" w:type="dxa"/>
            <w:vAlign w:val="bottom"/>
          </w:tcPr>
          <w:p>
            <w:pPr>
              <w:spacing w:after="0"/>
              <w:rPr>
                <w:sz w:val="17"/>
                <w:szCs w:val="17"/>
                <w:color w:val="auto"/>
              </w:rPr>
            </w:pPr>
          </w:p>
        </w:tc>
        <w:tc>
          <w:tcPr>
            <w:tcW w:w="7900" w:type="dxa"/>
            <w:vAlign w:val="bottom"/>
            <w:tcBorders>
              <w:bottom w:val="single" w:sz="8" w:color="0563C1"/>
            </w:tcBorders>
            <w:gridSpan w:val="14"/>
          </w:tcPr>
          <w:p>
            <w:pPr>
              <w:spacing w:after="0" w:line="195" w:lineRule="exact"/>
              <w:rPr>
                <w:rFonts w:ascii="Arial" w:cs="Arial" w:eastAsia="Arial" w:hAnsi="Arial"/>
                <w:sz w:val="18"/>
                <w:szCs w:val="18"/>
                <w:color w:val="0563C1"/>
                <w:w w:val="91"/>
              </w:rPr>
            </w:pPr>
            <w:hyperlink r:id="rId356">
              <w:r>
                <w:rPr>
                  <w:rFonts w:ascii="Arial" w:cs="Arial" w:eastAsia="Arial" w:hAnsi="Arial"/>
                  <w:sz w:val="18"/>
                  <w:szCs w:val="18"/>
                  <w:color w:val="0563C1"/>
                  <w:w w:val="91"/>
                </w:rPr>
                <w:t>Exhibit 10.22.5 to Annual Report on Form 10-K for the year ended December 31, 2008, File No. 000-12255).</w:t>
              </w:r>
            </w:hyperlink>
          </w:p>
        </w:tc>
        <w:tc>
          <w:tcPr>
            <w:tcW w:w="1960" w:type="dxa"/>
            <w:vAlign w:val="bottom"/>
            <w:gridSpan w:val="4"/>
          </w:tcPr>
          <w:p>
            <w:pPr>
              <w:spacing w:after="0"/>
              <w:rPr>
                <w:sz w:val="17"/>
                <w:szCs w:val="17"/>
                <w:color w:val="auto"/>
              </w:rPr>
            </w:pPr>
          </w:p>
        </w:tc>
      </w:tr>
      <w:tr>
        <w:trPr>
          <w:trHeight w:val="371"/>
        </w:trPr>
        <w:tc>
          <w:tcPr>
            <w:tcW w:w="1380" w:type="dxa"/>
            <w:vAlign w:val="bottom"/>
          </w:tcPr>
          <w:p>
            <w:pPr>
              <w:ind w:left="120"/>
              <w:spacing w:after="0"/>
              <w:rPr>
                <w:sz w:val="20"/>
                <w:szCs w:val="20"/>
                <w:color w:val="auto"/>
              </w:rPr>
            </w:pPr>
            <w:r>
              <w:rPr>
                <w:rFonts w:ascii="Arial" w:cs="Arial" w:eastAsia="Arial" w:hAnsi="Arial"/>
                <w:sz w:val="18"/>
                <w:szCs w:val="18"/>
                <w:color w:val="auto"/>
              </w:rPr>
              <w:t>10.14.6</w:t>
            </w:r>
          </w:p>
        </w:tc>
        <w:tc>
          <w:tcPr>
            <w:tcW w:w="9860" w:type="dxa"/>
            <w:vAlign w:val="bottom"/>
            <w:tcBorders>
              <w:bottom w:val="single" w:sz="8" w:color="0563C1"/>
            </w:tcBorders>
            <w:gridSpan w:val="18"/>
          </w:tcPr>
          <w:p>
            <w:pPr>
              <w:spacing w:after="0"/>
              <w:rPr>
                <w:rFonts w:ascii="Arial" w:cs="Arial" w:eastAsia="Arial" w:hAnsi="Arial"/>
                <w:sz w:val="18"/>
                <w:szCs w:val="18"/>
                <w:color w:val="0563C1"/>
                <w:w w:val="97"/>
              </w:rPr>
            </w:pPr>
            <w:hyperlink r:id="rId357">
              <w:r>
                <w:rPr>
                  <w:rFonts w:ascii="Arial" w:cs="Arial" w:eastAsia="Arial" w:hAnsi="Arial"/>
                  <w:sz w:val="18"/>
                  <w:szCs w:val="18"/>
                  <w:color w:val="0563C1"/>
                  <w:w w:val="97"/>
                </w:rPr>
                <w:t>Amendment No. 5 and Amendment No. 6 to Yellow Corporation Pension Plan, as amended and restated as of January 1, 2004</w:t>
              </w:r>
            </w:hyperlink>
          </w:p>
        </w:tc>
      </w:tr>
      <w:tr>
        <w:trPr>
          <w:trHeight w:val="196"/>
        </w:trPr>
        <w:tc>
          <w:tcPr>
            <w:tcW w:w="1380" w:type="dxa"/>
            <w:vAlign w:val="bottom"/>
          </w:tcPr>
          <w:p>
            <w:pPr>
              <w:spacing w:after="0"/>
              <w:rPr>
                <w:sz w:val="17"/>
                <w:szCs w:val="17"/>
                <w:color w:val="auto"/>
              </w:rPr>
            </w:pPr>
          </w:p>
        </w:tc>
        <w:tc>
          <w:tcPr>
            <w:tcW w:w="9860" w:type="dxa"/>
            <w:vAlign w:val="bottom"/>
            <w:tcBorders>
              <w:bottom w:val="single" w:sz="8" w:color="0563C1"/>
            </w:tcBorders>
            <w:gridSpan w:val="18"/>
          </w:tcPr>
          <w:p>
            <w:pPr>
              <w:spacing w:after="0" w:line="195" w:lineRule="exact"/>
              <w:rPr>
                <w:rFonts w:ascii="Arial" w:cs="Arial" w:eastAsia="Arial" w:hAnsi="Arial"/>
                <w:sz w:val="18"/>
                <w:szCs w:val="18"/>
                <w:color w:val="0563C1"/>
                <w:w w:val="94"/>
              </w:rPr>
            </w:pPr>
            <w:hyperlink r:id="rId357">
              <w:r>
                <w:rPr>
                  <w:rFonts w:ascii="Arial" w:cs="Arial" w:eastAsia="Arial" w:hAnsi="Arial"/>
                  <w:sz w:val="18"/>
                  <w:szCs w:val="18"/>
                  <w:color w:val="0563C1"/>
                  <w:w w:val="94"/>
                </w:rPr>
                <w:t>(incorporated by reference to Exhibit 10.28.6 to Annual Report on Form 10-K for the year ended December 31, 2009, File No. 000-</w:t>
              </w:r>
            </w:hyperlink>
          </w:p>
        </w:tc>
      </w:tr>
      <w:tr>
        <w:trPr>
          <w:trHeight w:val="196"/>
        </w:trPr>
        <w:tc>
          <w:tcPr>
            <w:tcW w:w="1380" w:type="dxa"/>
            <w:vAlign w:val="bottom"/>
          </w:tcPr>
          <w:p>
            <w:pPr>
              <w:spacing w:after="0"/>
              <w:rPr>
                <w:sz w:val="17"/>
                <w:szCs w:val="17"/>
                <w:color w:val="auto"/>
              </w:rPr>
            </w:pPr>
          </w:p>
        </w:tc>
        <w:tc>
          <w:tcPr>
            <w:tcW w:w="560" w:type="dxa"/>
            <w:vAlign w:val="bottom"/>
            <w:tcBorders>
              <w:bottom w:val="single" w:sz="8" w:color="0563C1"/>
            </w:tcBorders>
          </w:tcPr>
          <w:p>
            <w:pPr>
              <w:spacing w:after="0" w:line="195" w:lineRule="exact"/>
              <w:rPr>
                <w:rFonts w:ascii="Arial" w:cs="Arial" w:eastAsia="Arial" w:hAnsi="Arial"/>
                <w:sz w:val="18"/>
                <w:szCs w:val="18"/>
                <w:color w:val="0563C1"/>
                <w:w w:val="88"/>
              </w:rPr>
            </w:pPr>
            <w:hyperlink r:id="rId357">
              <w:r>
                <w:rPr>
                  <w:rFonts w:ascii="Arial" w:cs="Arial" w:eastAsia="Arial" w:hAnsi="Arial"/>
                  <w:sz w:val="18"/>
                  <w:szCs w:val="18"/>
                  <w:color w:val="0563C1"/>
                  <w:w w:val="88"/>
                </w:rPr>
                <w:t>12255).</w:t>
              </w:r>
            </w:hyperlink>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71"/>
        </w:trPr>
        <w:tc>
          <w:tcPr>
            <w:tcW w:w="1380" w:type="dxa"/>
            <w:vAlign w:val="bottom"/>
          </w:tcPr>
          <w:p>
            <w:pPr>
              <w:ind w:left="120"/>
              <w:spacing w:after="0"/>
              <w:rPr>
                <w:sz w:val="20"/>
                <w:szCs w:val="20"/>
                <w:color w:val="auto"/>
              </w:rPr>
            </w:pPr>
            <w:r>
              <w:rPr>
                <w:rFonts w:ascii="Arial" w:cs="Arial" w:eastAsia="Arial" w:hAnsi="Arial"/>
                <w:sz w:val="18"/>
                <w:szCs w:val="18"/>
                <w:color w:val="auto"/>
              </w:rPr>
              <w:t>10.14.7</w:t>
            </w:r>
          </w:p>
        </w:tc>
        <w:tc>
          <w:tcPr>
            <w:tcW w:w="9860" w:type="dxa"/>
            <w:vAlign w:val="bottom"/>
            <w:tcBorders>
              <w:bottom w:val="single" w:sz="8" w:color="0563C1"/>
            </w:tcBorders>
            <w:gridSpan w:val="18"/>
          </w:tcPr>
          <w:p>
            <w:pPr>
              <w:spacing w:after="0"/>
              <w:rPr>
                <w:rFonts w:ascii="Arial" w:cs="Arial" w:eastAsia="Arial" w:hAnsi="Arial"/>
                <w:sz w:val="18"/>
                <w:szCs w:val="18"/>
                <w:color w:val="0563C1"/>
                <w:w w:val="92"/>
              </w:rPr>
            </w:pPr>
            <w:hyperlink r:id="rId358">
              <w:r>
                <w:rPr>
                  <w:rFonts w:ascii="Arial" w:cs="Arial" w:eastAsia="Arial" w:hAnsi="Arial"/>
                  <w:sz w:val="18"/>
                  <w:szCs w:val="18"/>
                  <w:color w:val="0563C1"/>
                  <w:w w:val="92"/>
                </w:rPr>
                <w:t>Amendment No. 7 to Yellow Corporation Pension Plan, as amended and restated as of January 1, 2004 (incorporated by reference to</w:t>
              </w:r>
            </w:hyperlink>
          </w:p>
        </w:tc>
      </w:tr>
      <w:tr>
        <w:trPr>
          <w:trHeight w:val="196"/>
        </w:trPr>
        <w:tc>
          <w:tcPr>
            <w:tcW w:w="1380" w:type="dxa"/>
            <w:vAlign w:val="bottom"/>
          </w:tcPr>
          <w:p>
            <w:pPr>
              <w:spacing w:after="0"/>
              <w:rPr>
                <w:sz w:val="17"/>
                <w:szCs w:val="17"/>
                <w:color w:val="auto"/>
              </w:rPr>
            </w:pPr>
          </w:p>
        </w:tc>
        <w:tc>
          <w:tcPr>
            <w:tcW w:w="7620" w:type="dxa"/>
            <w:vAlign w:val="bottom"/>
            <w:tcBorders>
              <w:bottom w:val="single" w:sz="8" w:color="0563C1"/>
            </w:tcBorders>
            <w:gridSpan w:val="12"/>
          </w:tcPr>
          <w:p>
            <w:pPr>
              <w:spacing w:after="0" w:line="195" w:lineRule="exact"/>
              <w:rPr>
                <w:rFonts w:ascii="Arial" w:cs="Arial" w:eastAsia="Arial" w:hAnsi="Arial"/>
                <w:sz w:val="18"/>
                <w:szCs w:val="18"/>
                <w:color w:val="0563C1"/>
                <w:w w:val="90"/>
              </w:rPr>
            </w:pPr>
            <w:hyperlink r:id="rId358">
              <w:r>
                <w:rPr>
                  <w:rFonts w:ascii="Arial" w:cs="Arial" w:eastAsia="Arial" w:hAnsi="Arial"/>
                  <w:sz w:val="18"/>
                  <w:szCs w:val="18"/>
                  <w:color w:val="0563C1"/>
                  <w:w w:val="90"/>
                </w:rPr>
                <w:t>Exhibit 10.7 to Quarterly Report on Form 10-Q for the quarter ended June 30, 2010, File No. 000-12255).</w:t>
              </w:r>
            </w:hyperlink>
          </w:p>
        </w:tc>
        <w:tc>
          <w:tcPr>
            <w:tcW w:w="2240" w:type="dxa"/>
            <w:vAlign w:val="bottom"/>
            <w:gridSpan w:val="6"/>
          </w:tcPr>
          <w:p>
            <w:pPr>
              <w:spacing w:after="0"/>
              <w:rPr>
                <w:sz w:val="17"/>
                <w:szCs w:val="17"/>
                <w:color w:val="auto"/>
              </w:rPr>
            </w:pPr>
          </w:p>
        </w:tc>
      </w:tr>
      <w:tr>
        <w:trPr>
          <w:trHeight w:val="371"/>
        </w:trPr>
        <w:tc>
          <w:tcPr>
            <w:tcW w:w="1380" w:type="dxa"/>
            <w:vAlign w:val="bottom"/>
          </w:tcPr>
          <w:p>
            <w:pPr>
              <w:ind w:left="120"/>
              <w:spacing w:after="0"/>
              <w:rPr>
                <w:sz w:val="20"/>
                <w:szCs w:val="20"/>
                <w:color w:val="auto"/>
              </w:rPr>
            </w:pPr>
            <w:r>
              <w:rPr>
                <w:rFonts w:ascii="Arial" w:cs="Arial" w:eastAsia="Arial" w:hAnsi="Arial"/>
                <w:sz w:val="18"/>
                <w:szCs w:val="18"/>
                <w:color w:val="auto"/>
              </w:rPr>
              <w:t>10.15</w:t>
            </w:r>
          </w:p>
        </w:tc>
        <w:tc>
          <w:tcPr>
            <w:tcW w:w="9860" w:type="dxa"/>
            <w:vAlign w:val="bottom"/>
            <w:tcBorders>
              <w:bottom w:val="single" w:sz="8" w:color="0563C1"/>
            </w:tcBorders>
            <w:gridSpan w:val="18"/>
          </w:tcPr>
          <w:p>
            <w:pPr>
              <w:spacing w:after="0"/>
              <w:rPr>
                <w:rFonts w:ascii="Arial" w:cs="Arial" w:eastAsia="Arial" w:hAnsi="Arial"/>
                <w:sz w:val="18"/>
                <w:szCs w:val="18"/>
                <w:color w:val="0563C1"/>
                <w:w w:val="92"/>
              </w:rPr>
            </w:pPr>
            <w:hyperlink r:id="rId359">
              <w:r>
                <w:rPr>
                  <w:rFonts w:ascii="Arial" w:cs="Arial" w:eastAsia="Arial" w:hAnsi="Arial"/>
                  <w:sz w:val="18"/>
                  <w:szCs w:val="18"/>
                  <w:color w:val="0563C1"/>
                  <w:w w:val="92"/>
                </w:rPr>
                <w:t>Severance Agreement, dated as of May 1, 2018, between Darren D. Hawkins and the Company (incorporated by reference to Exhibit</w:t>
              </w:r>
            </w:hyperlink>
          </w:p>
        </w:tc>
      </w:tr>
      <w:tr>
        <w:trPr>
          <w:trHeight w:val="196"/>
        </w:trPr>
        <w:tc>
          <w:tcPr>
            <w:tcW w:w="1380" w:type="dxa"/>
            <w:vAlign w:val="bottom"/>
          </w:tcPr>
          <w:p>
            <w:pPr>
              <w:spacing w:after="0"/>
              <w:rPr>
                <w:sz w:val="17"/>
                <w:szCs w:val="17"/>
                <w:color w:val="auto"/>
              </w:rPr>
            </w:pPr>
          </w:p>
        </w:tc>
        <w:tc>
          <w:tcPr>
            <w:tcW w:w="9860" w:type="dxa"/>
            <w:vAlign w:val="bottom"/>
            <w:gridSpan w:val="18"/>
          </w:tcPr>
          <w:p>
            <w:pPr>
              <w:spacing w:after="0" w:line="195" w:lineRule="exact"/>
              <w:rPr>
                <w:rFonts w:ascii="Arial" w:cs="Arial" w:eastAsia="Arial" w:hAnsi="Arial"/>
                <w:sz w:val="18"/>
                <w:szCs w:val="18"/>
                <w:color w:val="0563C1"/>
              </w:rPr>
            </w:pPr>
            <w:hyperlink r:id="rId359">
              <w:r>
                <w:rPr>
                  <w:rFonts w:ascii="Arial" w:cs="Arial" w:eastAsia="Arial" w:hAnsi="Arial"/>
                  <w:sz w:val="18"/>
                  <w:szCs w:val="18"/>
                  <w:color w:val="0563C1"/>
                </w:rPr>
                <w:t>10.</w:t>
              </w:r>
              <w:r>
                <w:rPr>
                  <w:rFonts w:ascii="Arial" w:cs="Arial" w:eastAsia="Arial" w:hAnsi="Arial"/>
                  <w:sz w:val="18"/>
                  <w:szCs w:val="18"/>
                  <w:u w:val="single" w:color="auto"/>
                  <w:color w:val="0563C1"/>
                </w:rPr>
                <w:t>5</w:t>
              </w:r>
              <w:r>
                <w:rPr>
                  <w:rFonts w:ascii="Arial" w:cs="Arial" w:eastAsia="Arial" w:hAnsi="Arial"/>
                  <w:sz w:val="18"/>
                  <w:szCs w:val="18"/>
                  <w:color w:val="0563C1"/>
                </w:rPr>
                <w:t xml:space="preserve"> to Quarterly Report on Form 10-Q for the quarter ended March 31, 2018, File No. 000-12255).</w:t>
              </w:r>
            </w:hyperlink>
          </w:p>
        </w:tc>
      </w:tr>
      <w:tr>
        <w:trPr>
          <w:trHeight w:val="20"/>
        </w:trPr>
        <w:tc>
          <w:tcPr>
            <w:tcW w:w="1380" w:type="dxa"/>
            <w:vAlign w:val="bottom"/>
          </w:tcPr>
          <w:p>
            <w:pPr>
              <w:spacing w:after="0" w:line="20" w:lineRule="exact"/>
              <w:rPr>
                <w:sz w:val="1"/>
                <w:szCs w:val="1"/>
                <w:color w:val="auto"/>
              </w:rPr>
            </w:pPr>
          </w:p>
        </w:tc>
        <w:tc>
          <w:tcPr>
            <w:tcW w:w="840" w:type="dxa"/>
            <w:vAlign w:val="bottom"/>
            <w:gridSpan w:val="2"/>
            <w:shd w:val="clear" w:color="auto" w:fill="0563C1"/>
          </w:tcPr>
          <w:p>
            <w:pPr>
              <w:spacing w:after="0" w:line="20" w:lineRule="exact"/>
              <w:rPr>
                <w:sz w:val="1"/>
                <w:szCs w:val="1"/>
                <w:color w:val="auto"/>
              </w:rPr>
            </w:pPr>
          </w:p>
        </w:tc>
        <w:tc>
          <w:tcPr>
            <w:tcW w:w="108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100" w:type="dxa"/>
            <w:vAlign w:val="bottom"/>
            <w:shd w:val="clear" w:color="auto" w:fill="0563C1"/>
          </w:tcPr>
          <w:p>
            <w:pPr>
              <w:spacing w:after="0" w:line="20" w:lineRule="exact"/>
              <w:rPr>
                <w:sz w:val="1"/>
                <w:szCs w:val="1"/>
                <w:color w:val="auto"/>
              </w:rPr>
            </w:pPr>
          </w:p>
        </w:tc>
        <w:tc>
          <w:tcPr>
            <w:tcW w:w="760" w:type="dxa"/>
            <w:vAlign w:val="bottom"/>
            <w:shd w:val="clear" w:color="auto" w:fill="0563C1"/>
          </w:tcPr>
          <w:p>
            <w:pPr>
              <w:spacing w:after="0" w:line="20" w:lineRule="exact"/>
              <w:rPr>
                <w:sz w:val="1"/>
                <w:szCs w:val="1"/>
                <w:color w:val="auto"/>
              </w:rPr>
            </w:pPr>
          </w:p>
        </w:tc>
        <w:tc>
          <w:tcPr>
            <w:tcW w:w="1340" w:type="dxa"/>
            <w:vAlign w:val="bottom"/>
            <w:shd w:val="clear" w:color="auto" w:fill="0563C1"/>
          </w:tcPr>
          <w:p>
            <w:pPr>
              <w:spacing w:after="0" w:line="20" w:lineRule="exact"/>
              <w:rPr>
                <w:sz w:val="1"/>
                <w:szCs w:val="1"/>
                <w:color w:val="auto"/>
              </w:rPr>
            </w:pPr>
          </w:p>
        </w:tc>
        <w:tc>
          <w:tcPr>
            <w:tcW w:w="660" w:type="dxa"/>
            <w:vAlign w:val="bottom"/>
            <w:shd w:val="clear" w:color="auto" w:fill="0563C1"/>
          </w:tcPr>
          <w:p>
            <w:pPr>
              <w:spacing w:after="0" w:line="20" w:lineRule="exact"/>
              <w:rPr>
                <w:sz w:val="1"/>
                <w:szCs w:val="1"/>
                <w:color w:val="auto"/>
              </w:rPr>
            </w:pPr>
          </w:p>
        </w:tc>
        <w:tc>
          <w:tcPr>
            <w:tcW w:w="1200" w:type="dxa"/>
            <w:vAlign w:val="bottom"/>
            <w:gridSpan w:val="2"/>
            <w:shd w:val="clear" w:color="auto" w:fill="0563C1"/>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380" w:type="dxa"/>
            <w:vAlign w:val="bottom"/>
          </w:tcPr>
          <w:p>
            <w:pPr>
              <w:ind w:left="120"/>
              <w:spacing w:after="0"/>
              <w:rPr>
                <w:sz w:val="20"/>
                <w:szCs w:val="20"/>
                <w:color w:val="auto"/>
              </w:rPr>
            </w:pPr>
            <w:r>
              <w:rPr>
                <w:rFonts w:ascii="Arial" w:cs="Arial" w:eastAsia="Arial" w:hAnsi="Arial"/>
                <w:sz w:val="18"/>
                <w:szCs w:val="18"/>
                <w:color w:val="auto"/>
              </w:rPr>
              <w:t>10.16</w:t>
            </w:r>
          </w:p>
        </w:tc>
        <w:tc>
          <w:tcPr>
            <w:tcW w:w="9860" w:type="dxa"/>
            <w:vAlign w:val="bottom"/>
            <w:tcBorders>
              <w:bottom w:val="single" w:sz="8" w:color="0563C1"/>
            </w:tcBorders>
            <w:gridSpan w:val="18"/>
          </w:tcPr>
          <w:p>
            <w:pPr>
              <w:spacing w:after="0"/>
              <w:rPr>
                <w:rFonts w:ascii="Arial" w:cs="Arial" w:eastAsia="Arial" w:hAnsi="Arial"/>
                <w:sz w:val="18"/>
                <w:szCs w:val="18"/>
                <w:color w:val="0563C1"/>
                <w:w w:val="93"/>
              </w:rPr>
            </w:pPr>
            <w:hyperlink r:id="rId360">
              <w:r>
                <w:rPr>
                  <w:rFonts w:ascii="Arial" w:cs="Arial" w:eastAsia="Arial" w:hAnsi="Arial"/>
                  <w:sz w:val="18"/>
                  <w:szCs w:val="18"/>
                  <w:color w:val="0563C1"/>
                  <w:w w:val="93"/>
                </w:rPr>
                <w:t>YRC Worldwide Amended and Restated Severance Plan, dated March 9, 2020 (incorporated by reference to Exhibit 10.16 to Annual</w:t>
              </w:r>
            </w:hyperlink>
          </w:p>
        </w:tc>
      </w:tr>
      <w:tr>
        <w:trPr>
          <w:trHeight w:val="196"/>
        </w:trPr>
        <w:tc>
          <w:tcPr>
            <w:tcW w:w="1380" w:type="dxa"/>
            <w:vAlign w:val="bottom"/>
          </w:tcPr>
          <w:p>
            <w:pPr>
              <w:spacing w:after="0"/>
              <w:rPr>
                <w:sz w:val="17"/>
                <w:szCs w:val="17"/>
                <w:color w:val="auto"/>
              </w:rPr>
            </w:pPr>
          </w:p>
        </w:tc>
        <w:tc>
          <w:tcPr>
            <w:tcW w:w="5980" w:type="dxa"/>
            <w:vAlign w:val="bottom"/>
            <w:tcBorders>
              <w:bottom w:val="single" w:sz="8" w:color="0563C1"/>
            </w:tcBorders>
            <w:gridSpan w:val="9"/>
          </w:tcPr>
          <w:p>
            <w:pPr>
              <w:spacing w:after="0" w:line="195" w:lineRule="exact"/>
              <w:rPr>
                <w:rFonts w:ascii="Arial" w:cs="Arial" w:eastAsia="Arial" w:hAnsi="Arial"/>
                <w:sz w:val="18"/>
                <w:szCs w:val="18"/>
                <w:color w:val="0563C1"/>
                <w:w w:val="90"/>
              </w:rPr>
            </w:pPr>
            <w:hyperlink r:id="rId360">
              <w:r>
                <w:rPr>
                  <w:rFonts w:ascii="Arial" w:cs="Arial" w:eastAsia="Arial" w:hAnsi="Arial"/>
                  <w:sz w:val="18"/>
                  <w:szCs w:val="18"/>
                  <w:color w:val="0563C1"/>
                  <w:w w:val="90"/>
                </w:rPr>
                <w:t>Report on Form 10-K for the year ended December 31, 2019, File No. 000-12255).</w:t>
              </w:r>
            </w:hyperlink>
          </w:p>
        </w:tc>
        <w:tc>
          <w:tcPr>
            <w:tcW w:w="3880" w:type="dxa"/>
            <w:vAlign w:val="bottom"/>
            <w:gridSpan w:val="9"/>
          </w:tcPr>
          <w:p>
            <w:pPr>
              <w:spacing w:after="0"/>
              <w:rPr>
                <w:sz w:val="17"/>
                <w:szCs w:val="17"/>
                <w:color w:val="auto"/>
              </w:rPr>
            </w:pPr>
          </w:p>
        </w:tc>
      </w:tr>
      <w:tr>
        <w:trPr>
          <w:trHeight w:val="371"/>
        </w:trPr>
        <w:tc>
          <w:tcPr>
            <w:tcW w:w="1380" w:type="dxa"/>
            <w:vAlign w:val="bottom"/>
          </w:tcPr>
          <w:p>
            <w:pPr>
              <w:ind w:left="120"/>
              <w:spacing w:after="0"/>
              <w:rPr>
                <w:sz w:val="20"/>
                <w:szCs w:val="20"/>
                <w:color w:val="auto"/>
              </w:rPr>
            </w:pPr>
            <w:r>
              <w:rPr>
                <w:rFonts w:ascii="Arial" w:cs="Arial" w:eastAsia="Arial" w:hAnsi="Arial"/>
                <w:sz w:val="18"/>
                <w:szCs w:val="18"/>
                <w:color w:val="auto"/>
              </w:rPr>
              <w:t>10.17</w:t>
            </w:r>
          </w:p>
        </w:tc>
        <w:tc>
          <w:tcPr>
            <w:tcW w:w="9460" w:type="dxa"/>
            <w:vAlign w:val="bottom"/>
            <w:tcBorders>
              <w:bottom w:val="single" w:sz="8" w:color="0563C1"/>
            </w:tcBorders>
            <w:gridSpan w:val="16"/>
          </w:tcPr>
          <w:p>
            <w:pPr>
              <w:spacing w:after="0"/>
              <w:rPr>
                <w:rFonts w:ascii="Arial" w:cs="Arial" w:eastAsia="Arial" w:hAnsi="Arial"/>
                <w:sz w:val="18"/>
                <w:szCs w:val="18"/>
                <w:color w:val="0563C1"/>
                <w:w w:val="91"/>
              </w:rPr>
            </w:pPr>
            <w:hyperlink r:id="rId361">
              <w:r>
                <w:rPr>
                  <w:rFonts w:ascii="Arial" w:cs="Arial" w:eastAsia="Arial" w:hAnsi="Arial"/>
                  <w:sz w:val="18"/>
                  <w:szCs w:val="18"/>
                  <w:color w:val="0563C1"/>
                  <w:w w:val="91"/>
                </w:rPr>
                <w:t>Form of Retention Agreement (incorporated by reference to Exhibit 10.1 to Current Report on Form 8-K filed on October 5, 2020).</w:t>
              </w:r>
            </w:hyperlink>
          </w:p>
        </w:tc>
        <w:tc>
          <w:tcPr>
            <w:tcW w:w="400" w:type="dxa"/>
            <w:vAlign w:val="bottom"/>
            <w:gridSpan w:val="2"/>
          </w:tcPr>
          <w:p>
            <w:pPr>
              <w:spacing w:after="0"/>
              <w:rPr>
                <w:sz w:val="24"/>
                <w:szCs w:val="24"/>
                <w:color w:val="auto"/>
              </w:rPr>
            </w:pPr>
          </w:p>
        </w:tc>
      </w:tr>
      <w:tr>
        <w:trPr>
          <w:trHeight w:val="465"/>
        </w:trPr>
        <w:tc>
          <w:tcPr>
            <w:tcW w:w="1380" w:type="dxa"/>
            <w:vAlign w:val="bottom"/>
          </w:tcPr>
          <w:p>
            <w:pPr>
              <w:ind w:left="120"/>
              <w:spacing w:after="0"/>
              <w:rPr>
                <w:sz w:val="20"/>
                <w:szCs w:val="20"/>
                <w:color w:val="auto"/>
              </w:rPr>
            </w:pPr>
            <w:r>
              <w:rPr>
                <w:rFonts w:ascii="Arial" w:cs="Arial" w:eastAsia="Arial" w:hAnsi="Arial"/>
                <w:sz w:val="18"/>
                <w:szCs w:val="18"/>
                <w:color w:val="auto"/>
              </w:rPr>
              <w:t>10.18</w:t>
            </w:r>
          </w:p>
        </w:tc>
        <w:tc>
          <w:tcPr>
            <w:tcW w:w="9860" w:type="dxa"/>
            <w:vAlign w:val="bottom"/>
            <w:tcBorders>
              <w:bottom w:val="single" w:sz="8" w:color="0563C1"/>
            </w:tcBorders>
            <w:gridSpan w:val="18"/>
          </w:tcPr>
          <w:p>
            <w:pPr>
              <w:spacing w:after="0"/>
              <w:rPr>
                <w:rFonts w:ascii="Arial" w:cs="Arial" w:eastAsia="Arial" w:hAnsi="Arial"/>
                <w:sz w:val="18"/>
                <w:szCs w:val="18"/>
                <w:color w:val="0563C1"/>
                <w:w w:val="93"/>
              </w:rPr>
            </w:pPr>
            <w:hyperlink r:id="rId362">
              <w:r>
                <w:rPr>
                  <w:rFonts w:ascii="Arial" w:cs="Arial" w:eastAsia="Arial" w:hAnsi="Arial"/>
                  <w:sz w:val="18"/>
                  <w:szCs w:val="18"/>
                  <w:color w:val="0563C1"/>
                  <w:w w:val="93"/>
                </w:rPr>
                <w:t>Yellow Corporation 2021 Bonus Plan (incorporated by reference to Exhibit 10.1 to Current Report on Form 8-K filed on February 25,</w:t>
              </w:r>
            </w:hyperlink>
          </w:p>
        </w:tc>
      </w:tr>
      <w:tr>
        <w:trPr>
          <w:trHeight w:val="196"/>
        </w:trPr>
        <w:tc>
          <w:tcPr>
            <w:tcW w:w="1380" w:type="dxa"/>
            <w:vAlign w:val="bottom"/>
          </w:tcPr>
          <w:p>
            <w:pPr>
              <w:spacing w:after="0"/>
              <w:rPr>
                <w:sz w:val="17"/>
                <w:szCs w:val="17"/>
                <w:color w:val="auto"/>
              </w:rPr>
            </w:pPr>
          </w:p>
        </w:tc>
        <w:tc>
          <w:tcPr>
            <w:tcW w:w="9860" w:type="dxa"/>
            <w:vAlign w:val="bottom"/>
            <w:gridSpan w:val="18"/>
          </w:tcPr>
          <w:p>
            <w:pPr>
              <w:spacing w:after="0" w:line="195" w:lineRule="exact"/>
              <w:rPr>
                <w:rFonts w:ascii="Arial" w:cs="Arial" w:eastAsia="Arial" w:hAnsi="Arial"/>
                <w:sz w:val="18"/>
                <w:szCs w:val="18"/>
                <w:color w:val="0563C1"/>
              </w:rPr>
            </w:pPr>
            <w:hyperlink r:id="rId362">
              <w:r>
                <w:rPr>
                  <w:rFonts w:ascii="Arial" w:cs="Arial" w:eastAsia="Arial" w:hAnsi="Arial"/>
                  <w:sz w:val="18"/>
                  <w:szCs w:val="18"/>
                  <w:color w:val="0563C1"/>
                </w:rPr>
                <w:t>2021, File No. 000-12255)</w:t>
              </w:r>
            </w:hyperlink>
          </w:p>
        </w:tc>
      </w:tr>
      <w:tr>
        <w:trPr>
          <w:trHeight w:val="20"/>
        </w:trPr>
        <w:tc>
          <w:tcPr>
            <w:tcW w:w="1380" w:type="dxa"/>
            <w:vAlign w:val="bottom"/>
          </w:tcPr>
          <w:p>
            <w:pPr>
              <w:spacing w:after="0" w:line="20" w:lineRule="exact"/>
              <w:rPr>
                <w:sz w:val="1"/>
                <w:szCs w:val="1"/>
                <w:color w:val="auto"/>
              </w:rPr>
            </w:pPr>
          </w:p>
        </w:tc>
        <w:tc>
          <w:tcPr>
            <w:tcW w:w="840" w:type="dxa"/>
            <w:vAlign w:val="bottom"/>
            <w:gridSpan w:val="2"/>
            <w:shd w:val="clear" w:color="auto" w:fill="0563C1"/>
          </w:tcPr>
          <w:p>
            <w:pPr>
              <w:spacing w:after="0" w:line="20" w:lineRule="exact"/>
              <w:rPr>
                <w:sz w:val="1"/>
                <w:szCs w:val="1"/>
                <w:color w:val="auto"/>
              </w:rPr>
            </w:pPr>
          </w:p>
        </w:tc>
        <w:tc>
          <w:tcPr>
            <w:tcW w:w="1080" w:type="dxa"/>
            <w:vAlign w:val="bottom"/>
            <w:shd w:val="clear" w:color="auto" w:fill="0563C1"/>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40" w:type="dxa"/>
            <w:vAlign w:val="bottom"/>
            <w:gridSpan w:val="5"/>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5"/>
        </w:trPr>
        <w:tc>
          <w:tcPr>
            <w:tcW w:w="1380" w:type="dxa"/>
            <w:vAlign w:val="bottom"/>
          </w:tcPr>
          <w:p>
            <w:pPr>
              <w:ind w:left="120"/>
              <w:spacing w:after="0"/>
              <w:rPr>
                <w:sz w:val="20"/>
                <w:szCs w:val="20"/>
                <w:color w:val="auto"/>
              </w:rPr>
            </w:pPr>
            <w:r>
              <w:rPr>
                <w:rFonts w:ascii="Arial" w:cs="Arial" w:eastAsia="Arial" w:hAnsi="Arial"/>
                <w:sz w:val="18"/>
                <w:szCs w:val="18"/>
                <w:color w:val="auto"/>
              </w:rPr>
              <w:t>10.19</w:t>
            </w:r>
          </w:p>
        </w:tc>
        <w:tc>
          <w:tcPr>
            <w:tcW w:w="9860" w:type="dxa"/>
            <w:vAlign w:val="bottom"/>
            <w:tcBorders>
              <w:bottom w:val="single" w:sz="8" w:color="0563C1"/>
            </w:tcBorders>
            <w:gridSpan w:val="18"/>
          </w:tcPr>
          <w:p>
            <w:pPr>
              <w:spacing w:after="0"/>
              <w:rPr>
                <w:rFonts w:ascii="Arial" w:cs="Arial" w:eastAsia="Arial" w:hAnsi="Arial"/>
                <w:sz w:val="18"/>
                <w:szCs w:val="18"/>
                <w:color w:val="0563C1"/>
                <w:w w:val="94"/>
              </w:rPr>
            </w:pPr>
            <w:hyperlink r:id="rId363">
              <w:r>
                <w:rPr>
                  <w:rFonts w:ascii="Arial" w:cs="Arial" w:eastAsia="Arial" w:hAnsi="Arial"/>
                  <w:sz w:val="18"/>
                  <w:szCs w:val="18"/>
                  <w:color w:val="0563C1"/>
                  <w:w w:val="94"/>
                </w:rPr>
                <w:t>Yellow Corporation Form of Restricted Stock Unit Agreement under YRC Worldwide Inc. 2019 Incentive and Equity Award Plan and</w:t>
              </w:r>
            </w:hyperlink>
          </w:p>
        </w:tc>
      </w:tr>
      <w:tr>
        <w:trPr>
          <w:trHeight w:val="196"/>
        </w:trPr>
        <w:tc>
          <w:tcPr>
            <w:tcW w:w="1380" w:type="dxa"/>
            <w:vAlign w:val="bottom"/>
          </w:tcPr>
          <w:p>
            <w:pPr>
              <w:spacing w:after="0"/>
              <w:rPr>
                <w:sz w:val="17"/>
                <w:szCs w:val="17"/>
                <w:color w:val="auto"/>
              </w:rPr>
            </w:pPr>
          </w:p>
        </w:tc>
        <w:tc>
          <w:tcPr>
            <w:tcW w:w="9860" w:type="dxa"/>
            <w:vAlign w:val="bottom"/>
            <w:tcBorders>
              <w:bottom w:val="single" w:sz="8" w:color="0563C1"/>
            </w:tcBorders>
            <w:gridSpan w:val="18"/>
          </w:tcPr>
          <w:p>
            <w:pPr>
              <w:spacing w:after="0" w:line="195" w:lineRule="exact"/>
              <w:rPr>
                <w:rFonts w:ascii="Arial" w:cs="Arial" w:eastAsia="Arial" w:hAnsi="Arial"/>
                <w:sz w:val="18"/>
                <w:szCs w:val="18"/>
                <w:color w:val="0563C1"/>
                <w:w w:val="92"/>
              </w:rPr>
            </w:pPr>
            <w:hyperlink r:id="rId363">
              <w:r>
                <w:rPr>
                  <w:rFonts w:ascii="Arial" w:cs="Arial" w:eastAsia="Arial" w:hAnsi="Arial"/>
                  <w:sz w:val="18"/>
                  <w:szCs w:val="18"/>
                  <w:color w:val="0563C1"/>
                  <w:w w:val="92"/>
                </w:rPr>
                <w:t>successor plans thereto (incorporated by reference to Exhibit 10.2 to Current Report on Form 8-K filed on February 25, 2021, File No.</w:t>
              </w:r>
            </w:hyperlink>
          </w:p>
        </w:tc>
      </w:tr>
      <w:tr>
        <w:trPr>
          <w:trHeight w:val="196"/>
        </w:trPr>
        <w:tc>
          <w:tcPr>
            <w:tcW w:w="1380" w:type="dxa"/>
            <w:vAlign w:val="bottom"/>
          </w:tcPr>
          <w:p>
            <w:pPr>
              <w:spacing w:after="0"/>
              <w:rPr>
                <w:sz w:val="17"/>
                <w:szCs w:val="17"/>
                <w:color w:val="auto"/>
              </w:rPr>
            </w:pPr>
          </w:p>
        </w:tc>
        <w:tc>
          <w:tcPr>
            <w:tcW w:w="840" w:type="dxa"/>
            <w:vAlign w:val="bottom"/>
            <w:tcBorders>
              <w:bottom w:val="single" w:sz="8" w:color="0563C1"/>
            </w:tcBorders>
            <w:gridSpan w:val="2"/>
          </w:tcPr>
          <w:p>
            <w:pPr>
              <w:spacing w:after="0" w:line="195" w:lineRule="exact"/>
              <w:rPr>
                <w:rFonts w:ascii="Arial" w:cs="Arial" w:eastAsia="Arial" w:hAnsi="Arial"/>
                <w:sz w:val="18"/>
                <w:szCs w:val="18"/>
                <w:color w:val="0563C1"/>
                <w:w w:val="89"/>
              </w:rPr>
            </w:pPr>
            <w:hyperlink r:id="rId363">
              <w:r>
                <w:rPr>
                  <w:rFonts w:ascii="Arial" w:cs="Arial" w:eastAsia="Arial" w:hAnsi="Arial"/>
                  <w:sz w:val="18"/>
                  <w:szCs w:val="18"/>
                  <w:color w:val="0563C1"/>
                  <w:w w:val="89"/>
                </w:rPr>
                <w:t>000-12255)</w:t>
              </w:r>
            </w:hyperlink>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65"/>
        </w:trPr>
        <w:tc>
          <w:tcPr>
            <w:tcW w:w="1380" w:type="dxa"/>
            <w:vAlign w:val="bottom"/>
          </w:tcPr>
          <w:p>
            <w:pPr>
              <w:ind w:left="120"/>
              <w:spacing w:after="0"/>
              <w:rPr>
                <w:sz w:val="20"/>
                <w:szCs w:val="20"/>
                <w:color w:val="auto"/>
              </w:rPr>
            </w:pPr>
            <w:r>
              <w:rPr>
                <w:rFonts w:ascii="Arial" w:cs="Arial" w:eastAsia="Arial" w:hAnsi="Arial"/>
                <w:sz w:val="18"/>
                <w:szCs w:val="18"/>
                <w:color w:val="auto"/>
              </w:rPr>
              <w:t>10.20</w:t>
            </w:r>
          </w:p>
        </w:tc>
        <w:tc>
          <w:tcPr>
            <w:tcW w:w="9860" w:type="dxa"/>
            <w:vAlign w:val="bottom"/>
            <w:tcBorders>
              <w:bottom w:val="single" w:sz="8" w:color="0563C1"/>
            </w:tcBorders>
            <w:gridSpan w:val="18"/>
          </w:tcPr>
          <w:p>
            <w:pPr>
              <w:spacing w:after="0"/>
              <w:rPr>
                <w:rFonts w:ascii="Arial" w:cs="Arial" w:eastAsia="Arial" w:hAnsi="Arial"/>
                <w:sz w:val="18"/>
                <w:szCs w:val="18"/>
                <w:color w:val="0563C1"/>
                <w:w w:val="90"/>
              </w:rPr>
            </w:pPr>
            <w:hyperlink r:id="rId364">
              <w:r>
                <w:rPr>
                  <w:rFonts w:ascii="Arial" w:cs="Arial" w:eastAsia="Arial" w:hAnsi="Arial"/>
                  <w:sz w:val="18"/>
                  <w:szCs w:val="18"/>
                  <w:color w:val="0563C1"/>
                  <w:w w:val="90"/>
                </w:rPr>
                <w:t>Severance Agreement and Release, dated April 23, 2021 between Thomas J. O’Conner and the Company (incorporated by reference to</w:t>
              </w:r>
            </w:hyperlink>
          </w:p>
        </w:tc>
      </w:tr>
      <w:tr>
        <w:trPr>
          <w:trHeight w:val="196"/>
        </w:trPr>
        <w:tc>
          <w:tcPr>
            <w:tcW w:w="1380" w:type="dxa"/>
            <w:vAlign w:val="bottom"/>
          </w:tcPr>
          <w:p>
            <w:pPr>
              <w:spacing w:after="0"/>
              <w:rPr>
                <w:sz w:val="17"/>
                <w:szCs w:val="17"/>
                <w:color w:val="auto"/>
              </w:rPr>
            </w:pPr>
          </w:p>
        </w:tc>
        <w:tc>
          <w:tcPr>
            <w:tcW w:w="7760" w:type="dxa"/>
            <w:vAlign w:val="bottom"/>
            <w:tcBorders>
              <w:bottom w:val="single" w:sz="8" w:color="0563C1"/>
            </w:tcBorders>
            <w:gridSpan w:val="13"/>
          </w:tcPr>
          <w:p>
            <w:pPr>
              <w:spacing w:after="0" w:line="195" w:lineRule="exact"/>
              <w:rPr>
                <w:rFonts w:ascii="Arial" w:cs="Arial" w:eastAsia="Arial" w:hAnsi="Arial"/>
                <w:sz w:val="18"/>
                <w:szCs w:val="18"/>
                <w:color w:val="0563C1"/>
                <w:w w:val="91"/>
              </w:rPr>
            </w:pPr>
            <w:hyperlink r:id="rId364">
              <w:r>
                <w:rPr>
                  <w:rFonts w:ascii="Arial" w:cs="Arial" w:eastAsia="Arial" w:hAnsi="Arial"/>
                  <w:sz w:val="18"/>
                  <w:szCs w:val="18"/>
                  <w:color w:val="0563C1"/>
                  <w:w w:val="91"/>
                </w:rPr>
                <w:t>Exhibit 10.1 to Quarterly Report on Form 10-Q for the quarter ended March 31, 2021, File No. 000-12255).</w:t>
              </w:r>
            </w:hyperlink>
          </w:p>
        </w:tc>
        <w:tc>
          <w:tcPr>
            <w:tcW w:w="2100" w:type="dxa"/>
            <w:vAlign w:val="bottom"/>
            <w:gridSpan w:val="5"/>
          </w:tcPr>
          <w:p>
            <w:pPr>
              <w:spacing w:after="0"/>
              <w:rPr>
                <w:sz w:val="17"/>
                <w:szCs w:val="17"/>
                <w:color w:val="auto"/>
              </w:rPr>
            </w:pPr>
          </w:p>
        </w:tc>
      </w:tr>
      <w:tr>
        <w:trPr>
          <w:trHeight w:val="465"/>
        </w:trPr>
        <w:tc>
          <w:tcPr>
            <w:tcW w:w="1380" w:type="dxa"/>
            <w:vAlign w:val="bottom"/>
          </w:tcPr>
          <w:p>
            <w:pPr>
              <w:ind w:left="120"/>
              <w:spacing w:after="0"/>
              <w:rPr>
                <w:sz w:val="20"/>
                <w:szCs w:val="20"/>
                <w:color w:val="auto"/>
              </w:rPr>
            </w:pPr>
            <w:r>
              <w:rPr>
                <w:rFonts w:ascii="Arial" w:cs="Arial" w:eastAsia="Arial" w:hAnsi="Arial"/>
                <w:sz w:val="18"/>
                <w:szCs w:val="18"/>
                <w:color w:val="auto"/>
              </w:rPr>
              <w:t>10.21</w:t>
            </w:r>
          </w:p>
        </w:tc>
        <w:tc>
          <w:tcPr>
            <w:tcW w:w="9860" w:type="dxa"/>
            <w:vAlign w:val="bottom"/>
            <w:tcBorders>
              <w:bottom w:val="single" w:sz="8" w:color="0563C1"/>
            </w:tcBorders>
            <w:gridSpan w:val="18"/>
          </w:tcPr>
          <w:p>
            <w:pPr>
              <w:spacing w:after="0"/>
              <w:rPr>
                <w:rFonts w:ascii="Arial" w:cs="Arial" w:eastAsia="Arial" w:hAnsi="Arial"/>
                <w:sz w:val="18"/>
                <w:szCs w:val="18"/>
                <w:color w:val="0563C1"/>
                <w:w w:val="90"/>
              </w:rPr>
            </w:pPr>
            <w:hyperlink r:id="rId365">
              <w:r>
                <w:rPr>
                  <w:rFonts w:ascii="Arial" w:cs="Arial" w:eastAsia="Arial" w:hAnsi="Arial"/>
                  <w:sz w:val="18"/>
                  <w:szCs w:val="18"/>
                  <w:color w:val="0563C1"/>
                  <w:w w:val="90"/>
                </w:rPr>
                <w:t>Severance Agreement and Release, dated April 14, 2021 between Scott D. Ware and the Company (incorporated by reference to Exhibit</w:t>
              </w:r>
            </w:hyperlink>
          </w:p>
        </w:tc>
      </w:tr>
      <w:tr>
        <w:trPr>
          <w:trHeight w:val="196"/>
        </w:trPr>
        <w:tc>
          <w:tcPr>
            <w:tcW w:w="1380" w:type="dxa"/>
            <w:vAlign w:val="bottom"/>
          </w:tcPr>
          <w:p>
            <w:pPr>
              <w:spacing w:after="0"/>
              <w:rPr>
                <w:sz w:val="17"/>
                <w:szCs w:val="17"/>
                <w:color w:val="auto"/>
              </w:rPr>
            </w:pPr>
          </w:p>
        </w:tc>
        <w:tc>
          <w:tcPr>
            <w:tcW w:w="9860" w:type="dxa"/>
            <w:vAlign w:val="bottom"/>
            <w:gridSpan w:val="18"/>
          </w:tcPr>
          <w:p>
            <w:pPr>
              <w:spacing w:after="0" w:line="195" w:lineRule="exact"/>
              <w:rPr>
                <w:rFonts w:ascii="Arial" w:cs="Arial" w:eastAsia="Arial" w:hAnsi="Arial"/>
                <w:sz w:val="18"/>
                <w:szCs w:val="18"/>
                <w:color w:val="0563C1"/>
              </w:rPr>
            </w:pPr>
            <w:hyperlink r:id="rId365">
              <w:r>
                <w:rPr>
                  <w:rFonts w:ascii="Arial" w:cs="Arial" w:eastAsia="Arial" w:hAnsi="Arial"/>
                  <w:sz w:val="18"/>
                  <w:szCs w:val="18"/>
                  <w:color w:val="0563C1"/>
                </w:rPr>
                <w:t>10.</w:t>
              </w:r>
              <w:r>
                <w:rPr>
                  <w:rFonts w:ascii="Arial" w:cs="Arial" w:eastAsia="Arial" w:hAnsi="Arial"/>
                  <w:sz w:val="18"/>
                  <w:szCs w:val="18"/>
                  <w:u w:val="single" w:color="auto"/>
                  <w:color w:val="0563C1"/>
                </w:rPr>
                <w:t>2</w:t>
              </w:r>
              <w:r>
                <w:rPr>
                  <w:rFonts w:ascii="Arial" w:cs="Arial" w:eastAsia="Arial" w:hAnsi="Arial"/>
                  <w:sz w:val="18"/>
                  <w:szCs w:val="18"/>
                  <w:color w:val="0563C1"/>
                </w:rPr>
                <w:t xml:space="preserve"> to Quarterly Report on Form 10-Q for the quarter ended March 31, 2021, File No. 000-12255).</w:t>
              </w:r>
            </w:hyperlink>
          </w:p>
        </w:tc>
      </w:tr>
      <w:tr>
        <w:trPr>
          <w:trHeight w:val="20"/>
        </w:trPr>
        <w:tc>
          <w:tcPr>
            <w:tcW w:w="1380" w:type="dxa"/>
            <w:vAlign w:val="bottom"/>
          </w:tcPr>
          <w:p>
            <w:pPr>
              <w:spacing w:after="0" w:line="20" w:lineRule="exact"/>
              <w:rPr>
                <w:sz w:val="1"/>
                <w:szCs w:val="1"/>
                <w:color w:val="auto"/>
              </w:rPr>
            </w:pPr>
          </w:p>
        </w:tc>
        <w:tc>
          <w:tcPr>
            <w:tcW w:w="2100" w:type="dxa"/>
            <w:vAlign w:val="bottom"/>
            <w:gridSpan w:val="4"/>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100" w:type="dxa"/>
            <w:vAlign w:val="bottom"/>
            <w:shd w:val="clear" w:color="auto" w:fill="0563C1"/>
          </w:tcPr>
          <w:p>
            <w:pPr>
              <w:spacing w:after="0" w:line="20" w:lineRule="exact"/>
              <w:rPr>
                <w:sz w:val="1"/>
                <w:szCs w:val="1"/>
                <w:color w:val="auto"/>
              </w:rPr>
            </w:pPr>
          </w:p>
        </w:tc>
        <w:tc>
          <w:tcPr>
            <w:tcW w:w="760" w:type="dxa"/>
            <w:vAlign w:val="bottom"/>
            <w:shd w:val="clear" w:color="auto" w:fill="0563C1"/>
          </w:tcPr>
          <w:p>
            <w:pPr>
              <w:spacing w:after="0" w:line="20" w:lineRule="exact"/>
              <w:rPr>
                <w:sz w:val="1"/>
                <w:szCs w:val="1"/>
                <w:color w:val="auto"/>
              </w:rPr>
            </w:pPr>
          </w:p>
        </w:tc>
        <w:tc>
          <w:tcPr>
            <w:tcW w:w="1340" w:type="dxa"/>
            <w:vAlign w:val="bottom"/>
            <w:shd w:val="clear" w:color="auto" w:fill="0563C1"/>
          </w:tcPr>
          <w:p>
            <w:pPr>
              <w:spacing w:after="0" w:line="20" w:lineRule="exact"/>
              <w:rPr>
                <w:sz w:val="1"/>
                <w:szCs w:val="1"/>
                <w:color w:val="auto"/>
              </w:rPr>
            </w:pPr>
          </w:p>
        </w:tc>
        <w:tc>
          <w:tcPr>
            <w:tcW w:w="1860" w:type="dxa"/>
            <w:vAlign w:val="bottom"/>
            <w:gridSpan w:val="3"/>
            <w:shd w:val="clear" w:color="auto" w:fill="0563C1"/>
          </w:tcPr>
          <w:p>
            <w:pPr>
              <w:spacing w:after="0" w:line="20" w:lineRule="exact"/>
              <w:rPr>
                <w:sz w:val="1"/>
                <w:szCs w:val="1"/>
                <w:color w:val="auto"/>
              </w:rPr>
            </w:pPr>
          </w:p>
        </w:tc>
        <w:tc>
          <w:tcPr>
            <w:tcW w:w="26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5"/>
        </w:trPr>
        <w:tc>
          <w:tcPr>
            <w:tcW w:w="1380" w:type="dxa"/>
            <w:vAlign w:val="bottom"/>
          </w:tcPr>
          <w:p>
            <w:pPr>
              <w:ind w:left="120"/>
              <w:spacing w:after="0"/>
              <w:rPr>
                <w:sz w:val="20"/>
                <w:szCs w:val="20"/>
                <w:color w:val="auto"/>
              </w:rPr>
            </w:pPr>
            <w:r>
              <w:rPr>
                <w:rFonts w:ascii="Arial" w:cs="Arial" w:eastAsia="Arial" w:hAnsi="Arial"/>
                <w:sz w:val="18"/>
                <w:szCs w:val="18"/>
                <w:color w:val="auto"/>
              </w:rPr>
              <w:t>10.22</w:t>
            </w:r>
          </w:p>
        </w:tc>
        <w:tc>
          <w:tcPr>
            <w:tcW w:w="9860" w:type="dxa"/>
            <w:vAlign w:val="bottom"/>
            <w:tcBorders>
              <w:bottom w:val="single" w:sz="8" w:color="0563C1"/>
            </w:tcBorders>
            <w:gridSpan w:val="18"/>
          </w:tcPr>
          <w:p>
            <w:pPr>
              <w:spacing w:after="0"/>
              <w:rPr>
                <w:rFonts w:ascii="Arial" w:cs="Arial" w:eastAsia="Arial" w:hAnsi="Arial"/>
                <w:sz w:val="18"/>
                <w:szCs w:val="18"/>
                <w:color w:val="0563C1"/>
                <w:w w:val="92"/>
              </w:rPr>
            </w:pPr>
            <w:hyperlink r:id="rId366">
              <w:r>
                <w:rPr>
                  <w:rFonts w:ascii="Arial" w:cs="Arial" w:eastAsia="Arial" w:hAnsi="Arial"/>
                  <w:sz w:val="18"/>
                  <w:szCs w:val="18"/>
                  <w:color w:val="0563C1"/>
                  <w:w w:val="92"/>
                </w:rPr>
                <w:t>Yellow Corporation 2020 Employee Stock Purchase Plan (incorporated by reference to Exhibit 99.1 to Registration Statement on Form</w:t>
              </w:r>
            </w:hyperlink>
          </w:p>
        </w:tc>
      </w:tr>
      <w:tr>
        <w:trPr>
          <w:trHeight w:val="196"/>
        </w:trPr>
        <w:tc>
          <w:tcPr>
            <w:tcW w:w="1380" w:type="dxa"/>
            <w:vAlign w:val="bottom"/>
          </w:tcPr>
          <w:p>
            <w:pPr>
              <w:spacing w:after="0"/>
              <w:rPr>
                <w:sz w:val="17"/>
                <w:szCs w:val="17"/>
                <w:color w:val="auto"/>
              </w:rPr>
            </w:pPr>
          </w:p>
        </w:tc>
        <w:tc>
          <w:tcPr>
            <w:tcW w:w="9860" w:type="dxa"/>
            <w:vAlign w:val="bottom"/>
            <w:gridSpan w:val="18"/>
          </w:tcPr>
          <w:p>
            <w:pPr>
              <w:spacing w:after="0" w:line="195" w:lineRule="exact"/>
              <w:rPr>
                <w:rFonts w:ascii="Arial" w:cs="Arial" w:eastAsia="Arial" w:hAnsi="Arial"/>
                <w:sz w:val="18"/>
                <w:szCs w:val="18"/>
                <w:color w:val="0563C1"/>
              </w:rPr>
            </w:pPr>
            <w:hyperlink r:id="rId366">
              <w:r>
                <w:rPr>
                  <w:rFonts w:ascii="Arial" w:cs="Arial" w:eastAsia="Arial" w:hAnsi="Arial"/>
                  <w:sz w:val="18"/>
                  <w:szCs w:val="18"/>
                  <w:color w:val="0563C1"/>
                </w:rPr>
                <w:t>S-8, filed on November 2, 2020, File No. 333-249800).</w:t>
              </w:r>
            </w:hyperlink>
          </w:p>
        </w:tc>
      </w:tr>
      <w:tr>
        <w:trPr>
          <w:trHeight w:val="465"/>
        </w:trPr>
        <w:tc>
          <w:tcPr>
            <w:tcW w:w="1380" w:type="dxa"/>
            <w:vAlign w:val="bottom"/>
          </w:tcPr>
          <w:p>
            <w:pPr>
              <w:ind w:left="120"/>
              <w:spacing w:after="0"/>
              <w:rPr>
                <w:sz w:val="20"/>
                <w:szCs w:val="20"/>
                <w:color w:val="auto"/>
              </w:rPr>
            </w:pPr>
            <w:r>
              <w:rPr>
                <w:rFonts w:ascii="Arial" w:cs="Arial" w:eastAsia="Arial" w:hAnsi="Arial"/>
                <w:sz w:val="18"/>
                <w:szCs w:val="18"/>
                <w:color w:val="auto"/>
              </w:rPr>
              <w:t>10.23*</w:t>
            </w:r>
          </w:p>
        </w:tc>
        <w:tc>
          <w:tcPr>
            <w:tcW w:w="3220" w:type="dxa"/>
            <w:vAlign w:val="bottom"/>
            <w:tcBorders>
              <w:top w:val="single" w:sz="8" w:color="0563C1"/>
              <w:bottom w:val="single" w:sz="8" w:color="0563C1"/>
            </w:tcBorders>
            <w:gridSpan w:val="6"/>
          </w:tcPr>
          <w:p>
            <w:pPr>
              <w:spacing w:after="0"/>
              <w:rPr>
                <w:sz w:val="20"/>
                <w:szCs w:val="20"/>
                <w:color w:val="auto"/>
              </w:rPr>
            </w:pPr>
            <w:r>
              <w:rPr>
                <w:rFonts w:ascii="Arial" w:cs="Arial" w:eastAsia="Arial" w:hAnsi="Arial"/>
                <w:sz w:val="18"/>
                <w:szCs w:val="18"/>
                <w:color w:val="0563C1"/>
                <w:w w:val="91"/>
              </w:rPr>
              <w:t>Form of Performance Stock Unit Agreement</w:t>
            </w:r>
          </w:p>
        </w:tc>
        <w:tc>
          <w:tcPr>
            <w:tcW w:w="760" w:type="dxa"/>
            <w:vAlign w:val="bottom"/>
            <w:tcBorders>
              <w:top w:val="single" w:sz="8" w:color="0563C1"/>
            </w:tcBorders>
          </w:tcPr>
          <w:p>
            <w:pPr>
              <w:spacing w:after="0"/>
              <w:rPr>
                <w:sz w:val="24"/>
                <w:szCs w:val="24"/>
                <w:color w:val="auto"/>
              </w:rPr>
            </w:pPr>
          </w:p>
        </w:tc>
        <w:tc>
          <w:tcPr>
            <w:tcW w:w="5880" w:type="dxa"/>
            <w:vAlign w:val="bottom"/>
            <w:gridSpan w:val="11"/>
          </w:tcPr>
          <w:p>
            <w:pPr>
              <w:spacing w:after="0"/>
              <w:rPr>
                <w:sz w:val="24"/>
                <w:szCs w:val="24"/>
                <w:color w:val="auto"/>
              </w:rPr>
            </w:pPr>
          </w:p>
        </w:tc>
      </w:tr>
      <w:tr>
        <w:trPr>
          <w:trHeight w:val="492"/>
        </w:trPr>
        <w:tc>
          <w:tcPr>
            <w:tcW w:w="1380" w:type="dxa"/>
            <w:vAlign w:val="bottom"/>
          </w:tcPr>
          <w:p>
            <w:pPr>
              <w:ind w:left="120"/>
              <w:spacing w:after="0"/>
              <w:rPr>
                <w:sz w:val="20"/>
                <w:szCs w:val="20"/>
                <w:color w:val="auto"/>
              </w:rPr>
            </w:pPr>
            <w:r>
              <w:rPr>
                <w:rFonts w:ascii="Arial" w:cs="Arial" w:eastAsia="Arial" w:hAnsi="Arial"/>
                <w:sz w:val="18"/>
                <w:szCs w:val="18"/>
                <w:color w:val="auto"/>
              </w:rPr>
              <w:t>10.24**</w:t>
            </w:r>
          </w:p>
        </w:tc>
        <w:tc>
          <w:tcPr>
            <w:tcW w:w="9860" w:type="dxa"/>
            <w:vAlign w:val="bottom"/>
            <w:gridSpan w:val="18"/>
          </w:tcPr>
          <w:p>
            <w:pPr>
              <w:spacing w:after="0"/>
              <w:rPr>
                <w:sz w:val="20"/>
                <w:szCs w:val="20"/>
                <w:color w:val="auto"/>
              </w:rPr>
            </w:pPr>
            <w:r>
              <w:rPr>
                <w:rFonts w:ascii="Arial" w:cs="Arial" w:eastAsia="Arial" w:hAnsi="Arial"/>
                <w:sz w:val="18"/>
                <w:szCs w:val="18"/>
                <w:color w:val="auto"/>
                <w:w w:val="90"/>
              </w:rPr>
              <w:t>Severance Agreement and Release, dated January 17, 2023, between James R. Faught and the Company (incorporated by reference to</w:t>
            </w:r>
          </w:p>
        </w:tc>
      </w:tr>
      <w:tr>
        <w:trPr>
          <w:trHeight w:val="230"/>
        </w:trPr>
        <w:tc>
          <w:tcPr>
            <w:tcW w:w="1380" w:type="dxa"/>
            <w:vAlign w:val="bottom"/>
          </w:tcPr>
          <w:p>
            <w:pPr>
              <w:spacing w:after="0"/>
              <w:rPr>
                <w:sz w:val="20"/>
                <w:szCs w:val="20"/>
                <w:color w:val="auto"/>
              </w:rPr>
            </w:pPr>
          </w:p>
        </w:tc>
        <w:tc>
          <w:tcPr>
            <w:tcW w:w="9860" w:type="dxa"/>
            <w:vAlign w:val="bottom"/>
            <w:gridSpan w:val="18"/>
          </w:tcPr>
          <w:p>
            <w:pPr>
              <w:spacing w:after="0"/>
              <w:rPr>
                <w:sz w:val="20"/>
                <w:szCs w:val="20"/>
                <w:color w:val="auto"/>
              </w:rPr>
            </w:pPr>
            <w:r>
              <w:rPr>
                <w:rFonts w:ascii="Arial" w:cs="Arial" w:eastAsia="Arial" w:hAnsi="Arial"/>
                <w:sz w:val="18"/>
                <w:szCs w:val="18"/>
                <w:color w:val="auto"/>
              </w:rPr>
              <w:t>Exhibit 10.1 to Current Report on Form 8-K filed on January 23, 2023, File No. 000-12255).</w:t>
            </w:r>
          </w:p>
        </w:tc>
      </w:tr>
      <w:tr>
        <w:trPr>
          <w:trHeight w:val="351"/>
        </w:trPr>
        <w:tc>
          <w:tcPr>
            <w:tcW w:w="1380" w:type="dxa"/>
            <w:vAlign w:val="bottom"/>
          </w:tcPr>
          <w:p>
            <w:pPr>
              <w:ind w:left="120"/>
              <w:spacing w:after="0"/>
              <w:rPr>
                <w:sz w:val="20"/>
                <w:szCs w:val="20"/>
                <w:color w:val="auto"/>
              </w:rPr>
            </w:pPr>
            <w:r>
              <w:rPr>
                <w:rFonts w:ascii="Arial" w:cs="Arial" w:eastAsia="Arial" w:hAnsi="Arial"/>
                <w:sz w:val="18"/>
                <w:szCs w:val="18"/>
                <w:color w:val="auto"/>
              </w:rPr>
              <w:t>21.1*</w:t>
            </w:r>
          </w:p>
        </w:tc>
        <w:tc>
          <w:tcPr>
            <w:tcW w:w="2120" w:type="dxa"/>
            <w:vAlign w:val="bottom"/>
            <w:tcBorders>
              <w:bottom w:val="single" w:sz="8" w:color="0563C1"/>
            </w:tcBorders>
            <w:gridSpan w:val="5"/>
          </w:tcPr>
          <w:p>
            <w:pPr>
              <w:spacing w:after="0"/>
              <w:rPr>
                <w:sz w:val="20"/>
                <w:szCs w:val="20"/>
                <w:color w:val="auto"/>
              </w:rPr>
            </w:pPr>
            <w:r>
              <w:rPr>
                <w:rFonts w:ascii="Arial" w:cs="Arial" w:eastAsia="Arial" w:hAnsi="Arial"/>
                <w:sz w:val="18"/>
                <w:szCs w:val="18"/>
                <w:color w:val="0563C1"/>
                <w:w w:val="89"/>
              </w:rPr>
              <w:t>Subsidiaries of the Company.</w:t>
            </w:r>
          </w:p>
        </w:tc>
        <w:tc>
          <w:tcPr>
            <w:tcW w:w="7740" w:type="dxa"/>
            <w:vAlign w:val="bottom"/>
            <w:gridSpan w:val="13"/>
          </w:tcPr>
          <w:p>
            <w:pPr>
              <w:spacing w:after="0"/>
              <w:rPr>
                <w:sz w:val="24"/>
                <w:szCs w:val="24"/>
                <w:color w:val="auto"/>
              </w:rPr>
            </w:pPr>
          </w:p>
        </w:tc>
      </w:tr>
      <w:tr>
        <w:trPr>
          <w:trHeight w:val="371"/>
        </w:trPr>
        <w:tc>
          <w:tcPr>
            <w:tcW w:w="1380" w:type="dxa"/>
            <w:vAlign w:val="bottom"/>
          </w:tcPr>
          <w:p>
            <w:pPr>
              <w:ind w:left="120"/>
              <w:spacing w:after="0"/>
              <w:rPr>
                <w:sz w:val="20"/>
                <w:szCs w:val="20"/>
                <w:color w:val="auto"/>
              </w:rPr>
            </w:pPr>
            <w:r>
              <w:rPr>
                <w:rFonts w:ascii="Arial" w:cs="Arial" w:eastAsia="Arial" w:hAnsi="Arial"/>
                <w:sz w:val="18"/>
                <w:szCs w:val="18"/>
                <w:color w:val="auto"/>
              </w:rPr>
              <w:t>23.1*</w:t>
            </w:r>
          </w:p>
        </w:tc>
        <w:tc>
          <w:tcPr>
            <w:tcW w:w="5320" w:type="dxa"/>
            <w:vAlign w:val="bottom"/>
            <w:tcBorders>
              <w:bottom w:val="single" w:sz="8" w:color="0563C1"/>
            </w:tcBorders>
            <w:gridSpan w:val="8"/>
          </w:tcPr>
          <w:p>
            <w:pPr>
              <w:spacing w:after="0"/>
              <w:rPr>
                <w:sz w:val="20"/>
                <w:szCs w:val="20"/>
                <w:color w:val="auto"/>
              </w:rPr>
            </w:pPr>
            <w:r>
              <w:rPr>
                <w:rFonts w:ascii="Arial" w:cs="Arial" w:eastAsia="Arial" w:hAnsi="Arial"/>
                <w:sz w:val="18"/>
                <w:szCs w:val="18"/>
                <w:color w:val="0563C1"/>
                <w:w w:val="91"/>
              </w:rPr>
              <w:t>Consent of KPMG LLP, Independent Registered Public Accounting Firm.</w:t>
            </w:r>
          </w:p>
        </w:tc>
        <w:tc>
          <w:tcPr>
            <w:tcW w:w="4540" w:type="dxa"/>
            <w:vAlign w:val="bottom"/>
            <w:gridSpan w:val="10"/>
          </w:tcPr>
          <w:p>
            <w:pPr>
              <w:spacing w:after="0"/>
              <w:rPr>
                <w:sz w:val="24"/>
                <w:szCs w:val="24"/>
                <w:color w:val="auto"/>
              </w:rPr>
            </w:pPr>
          </w:p>
        </w:tc>
      </w:tr>
      <w:tr>
        <w:trPr>
          <w:trHeight w:val="371"/>
        </w:trPr>
        <w:tc>
          <w:tcPr>
            <w:tcW w:w="1380" w:type="dxa"/>
            <w:vAlign w:val="bottom"/>
          </w:tcPr>
          <w:p>
            <w:pPr>
              <w:ind w:left="120"/>
              <w:spacing w:after="0"/>
              <w:rPr>
                <w:sz w:val="20"/>
                <w:szCs w:val="20"/>
                <w:color w:val="auto"/>
              </w:rPr>
            </w:pPr>
            <w:r>
              <w:rPr>
                <w:rFonts w:ascii="Arial" w:cs="Arial" w:eastAsia="Arial" w:hAnsi="Arial"/>
                <w:sz w:val="18"/>
                <w:szCs w:val="18"/>
                <w:color w:val="auto"/>
              </w:rPr>
              <w:t>31.1*</w:t>
            </w:r>
          </w:p>
        </w:tc>
        <w:tc>
          <w:tcPr>
            <w:tcW w:w="9840" w:type="dxa"/>
            <w:vAlign w:val="bottom"/>
            <w:tcBorders>
              <w:bottom w:val="single" w:sz="8" w:color="0563C1"/>
            </w:tcBorders>
            <w:gridSpan w:val="17"/>
          </w:tcPr>
          <w:p>
            <w:pPr>
              <w:spacing w:after="0"/>
              <w:rPr>
                <w:sz w:val="20"/>
                <w:szCs w:val="20"/>
                <w:color w:val="auto"/>
              </w:rPr>
            </w:pPr>
            <w:r>
              <w:rPr>
                <w:rFonts w:ascii="Arial" w:cs="Arial" w:eastAsia="Arial" w:hAnsi="Arial"/>
                <w:sz w:val="18"/>
                <w:szCs w:val="18"/>
                <w:color w:val="0563C1"/>
                <w:w w:val="94"/>
              </w:rPr>
              <w:t>Certification of Darren D. Hawkins pursuant to Exchange Act Rules 13a-14 and 15d-14, as adopted pursuant to Section 302 of the</w:t>
            </w:r>
          </w:p>
        </w:tc>
        <w:tc>
          <w:tcPr>
            <w:tcW w:w="20" w:type="dxa"/>
            <w:vAlign w:val="bottom"/>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2100" w:type="dxa"/>
            <w:vAlign w:val="bottom"/>
            <w:tcBorders>
              <w:bottom w:val="single" w:sz="8" w:color="0563C1"/>
            </w:tcBorders>
            <w:gridSpan w:val="4"/>
          </w:tcPr>
          <w:p>
            <w:pPr>
              <w:spacing w:after="0" w:line="195" w:lineRule="exact"/>
              <w:rPr>
                <w:sz w:val="20"/>
                <w:szCs w:val="20"/>
                <w:color w:val="auto"/>
              </w:rPr>
            </w:pPr>
            <w:r>
              <w:rPr>
                <w:rFonts w:ascii="Arial" w:cs="Arial" w:eastAsia="Arial" w:hAnsi="Arial"/>
                <w:sz w:val="18"/>
                <w:szCs w:val="18"/>
                <w:color w:val="0563C1"/>
                <w:w w:val="90"/>
              </w:rPr>
              <w:t>Sarbanes-Oxley Act of 2002.</w:t>
            </w:r>
          </w:p>
        </w:tc>
        <w:tc>
          <w:tcPr>
            <w:tcW w:w="7760" w:type="dxa"/>
            <w:vAlign w:val="bottom"/>
            <w:gridSpan w:val="14"/>
          </w:tcPr>
          <w:p>
            <w:pPr>
              <w:spacing w:after="0"/>
              <w:rPr>
                <w:sz w:val="17"/>
                <w:szCs w:val="17"/>
                <w:color w:val="auto"/>
              </w:rPr>
            </w:pPr>
          </w:p>
        </w:tc>
      </w:tr>
      <w:tr>
        <w:trPr>
          <w:trHeight w:val="465"/>
        </w:trPr>
        <w:tc>
          <w:tcPr>
            <w:tcW w:w="1380" w:type="dxa"/>
            <w:vAlign w:val="bottom"/>
          </w:tcPr>
          <w:p>
            <w:pPr>
              <w:spacing w:after="0"/>
              <w:rPr>
                <w:sz w:val="24"/>
                <w:szCs w:val="24"/>
                <w:color w:val="auto"/>
              </w:rPr>
            </w:pPr>
          </w:p>
        </w:tc>
        <w:tc>
          <w:tcPr>
            <w:tcW w:w="5320" w:type="dxa"/>
            <w:vAlign w:val="bottom"/>
            <w:gridSpan w:val="8"/>
          </w:tcPr>
          <w:p>
            <w:pPr>
              <w:ind w:left="4160"/>
              <w:spacing w:after="0"/>
              <w:rPr>
                <w:sz w:val="20"/>
                <w:szCs w:val="20"/>
                <w:color w:val="auto"/>
              </w:rPr>
            </w:pPr>
            <w:r>
              <w:rPr>
                <w:rFonts w:ascii="Arial" w:cs="Arial" w:eastAsia="Arial" w:hAnsi="Arial"/>
                <w:sz w:val="18"/>
                <w:szCs w:val="18"/>
                <w:color w:val="auto"/>
              </w:rPr>
              <w:t>71</w:t>
            </w: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38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6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71" w:name="page72"/>
    <w:bookmarkEnd w:id="71"/>
    <w:tbl>
      <w:tblPr>
        <w:tblLayout w:type="fixed"/>
        <w:tblInd w:w="20" w:type="dxa"/>
        <w:tblCellMar>
          <w:top w:w="0" w:type="dxa"/>
          <w:left w:w="0" w:type="dxa"/>
          <w:bottom w:w="0" w:type="dxa"/>
          <w:right w:w="0" w:type="dxa"/>
        </w:tblCellMar>
      </w:tblPr>
      <w:tr>
        <w:trPr>
          <w:trHeight w:val="207"/>
        </w:trPr>
        <w:tc>
          <w:tcPr>
            <w:tcW w:w="1360" w:type="dxa"/>
            <w:vAlign w:val="bottom"/>
          </w:tcPr>
          <w:p>
            <w:pPr>
              <w:ind w:left="100"/>
              <w:spacing w:after="0"/>
              <w:rPr>
                <w:sz w:val="20"/>
                <w:szCs w:val="20"/>
                <w:color w:val="auto"/>
              </w:rPr>
            </w:pPr>
            <w:r>
              <w:rPr>
                <w:rFonts w:ascii="Arial" w:cs="Arial" w:eastAsia="Arial" w:hAnsi="Arial"/>
                <w:sz w:val="18"/>
                <w:szCs w:val="18"/>
                <w:color w:val="auto"/>
              </w:rPr>
              <w:t>31.2*</w:t>
            </w:r>
          </w:p>
        </w:tc>
        <w:tc>
          <w:tcPr>
            <w:tcW w:w="9840" w:type="dxa"/>
            <w:vAlign w:val="bottom"/>
            <w:tcBorders>
              <w:bottom w:val="single" w:sz="8" w:color="0563C1"/>
            </w:tcBorders>
            <w:gridSpan w:val="4"/>
          </w:tcPr>
          <w:p>
            <w:pPr>
              <w:spacing w:after="0"/>
              <w:rPr>
                <w:sz w:val="20"/>
                <w:szCs w:val="20"/>
                <w:color w:val="auto"/>
              </w:rPr>
            </w:pPr>
            <w:r>
              <w:rPr>
                <w:rFonts w:ascii="Arial" w:cs="Arial" w:eastAsia="Arial" w:hAnsi="Arial"/>
                <w:sz w:val="18"/>
                <w:szCs w:val="18"/>
                <w:color w:val="0563C1"/>
                <w:w w:val="97"/>
              </w:rPr>
              <w:t>Certification of Daniel L. Olivier pursuant to Exchange Act Rules 13a-14 and 15d-14, as adopted pursuant to Section 302 of the</w:t>
            </w:r>
          </w:p>
        </w:tc>
      </w:tr>
      <w:tr>
        <w:trPr>
          <w:trHeight w:val="196"/>
        </w:trPr>
        <w:tc>
          <w:tcPr>
            <w:tcW w:w="1360" w:type="dxa"/>
            <w:vAlign w:val="bottom"/>
          </w:tcPr>
          <w:p>
            <w:pPr>
              <w:spacing w:after="0"/>
              <w:rPr>
                <w:sz w:val="17"/>
                <w:szCs w:val="17"/>
                <w:color w:val="auto"/>
              </w:rPr>
            </w:pPr>
          </w:p>
        </w:tc>
        <w:tc>
          <w:tcPr>
            <w:tcW w:w="2100" w:type="dxa"/>
            <w:vAlign w:val="bottom"/>
            <w:tcBorders>
              <w:bottom w:val="single" w:sz="8" w:color="0563C1"/>
            </w:tcBorders>
            <w:gridSpan w:val="3"/>
          </w:tcPr>
          <w:p>
            <w:pPr>
              <w:spacing w:after="0" w:line="195" w:lineRule="exact"/>
              <w:rPr>
                <w:sz w:val="20"/>
                <w:szCs w:val="20"/>
                <w:color w:val="auto"/>
              </w:rPr>
            </w:pPr>
            <w:r>
              <w:rPr>
                <w:rFonts w:ascii="Arial" w:cs="Arial" w:eastAsia="Arial" w:hAnsi="Arial"/>
                <w:sz w:val="18"/>
                <w:szCs w:val="18"/>
                <w:color w:val="0563C1"/>
                <w:w w:val="90"/>
              </w:rPr>
              <w:t>Sarbanes-Oxley Act of 2002.</w:t>
            </w:r>
          </w:p>
        </w:tc>
        <w:tc>
          <w:tcPr>
            <w:tcW w:w="7740" w:type="dxa"/>
            <w:vAlign w:val="bottom"/>
          </w:tcPr>
          <w:p>
            <w:pPr>
              <w:spacing w:after="0"/>
              <w:rPr>
                <w:sz w:val="17"/>
                <w:szCs w:val="17"/>
                <w:color w:val="auto"/>
              </w:rPr>
            </w:pPr>
          </w:p>
        </w:tc>
      </w:tr>
      <w:tr>
        <w:trPr>
          <w:trHeight w:val="371"/>
        </w:trPr>
        <w:tc>
          <w:tcPr>
            <w:tcW w:w="1360" w:type="dxa"/>
            <w:vAlign w:val="bottom"/>
          </w:tcPr>
          <w:p>
            <w:pPr>
              <w:ind w:left="100"/>
              <w:spacing w:after="0"/>
              <w:rPr>
                <w:sz w:val="20"/>
                <w:szCs w:val="20"/>
                <w:color w:val="auto"/>
              </w:rPr>
            </w:pPr>
            <w:r>
              <w:rPr>
                <w:rFonts w:ascii="Arial" w:cs="Arial" w:eastAsia="Arial" w:hAnsi="Arial"/>
                <w:sz w:val="18"/>
                <w:szCs w:val="18"/>
                <w:color w:val="auto"/>
              </w:rPr>
              <w:t>32.1*</w:t>
            </w:r>
          </w:p>
        </w:tc>
        <w:tc>
          <w:tcPr>
            <w:tcW w:w="9840" w:type="dxa"/>
            <w:vAlign w:val="bottom"/>
            <w:tcBorders>
              <w:bottom w:val="single" w:sz="8" w:color="0563C1"/>
            </w:tcBorders>
            <w:gridSpan w:val="4"/>
          </w:tcPr>
          <w:p>
            <w:pPr>
              <w:spacing w:after="0"/>
              <w:rPr>
                <w:sz w:val="20"/>
                <w:szCs w:val="20"/>
                <w:color w:val="auto"/>
              </w:rPr>
            </w:pPr>
            <w:r>
              <w:rPr>
                <w:rFonts w:ascii="Arial" w:cs="Arial" w:eastAsia="Arial" w:hAnsi="Arial"/>
                <w:sz w:val="18"/>
                <w:szCs w:val="18"/>
                <w:color w:val="0563C1"/>
                <w:w w:val="91"/>
              </w:rPr>
              <w:t>Certification of Darren D. Hawkins pursuant to 18 U.S.C. Section 1350, as adopted pursuant to Section 906 of the Sarbanes-Oxley Act</w:t>
            </w:r>
          </w:p>
        </w:tc>
      </w:tr>
      <w:tr>
        <w:trPr>
          <w:trHeight w:val="196"/>
        </w:trPr>
        <w:tc>
          <w:tcPr>
            <w:tcW w:w="1360" w:type="dxa"/>
            <w:vAlign w:val="bottom"/>
          </w:tcPr>
          <w:p>
            <w:pPr>
              <w:spacing w:after="0"/>
              <w:rPr>
                <w:sz w:val="17"/>
                <w:szCs w:val="17"/>
                <w:color w:val="auto"/>
              </w:rPr>
            </w:pPr>
          </w:p>
        </w:tc>
        <w:tc>
          <w:tcPr>
            <w:tcW w:w="9840" w:type="dxa"/>
            <w:vAlign w:val="bottom"/>
            <w:gridSpan w:val="4"/>
          </w:tcPr>
          <w:p>
            <w:pPr>
              <w:spacing w:after="0" w:line="195" w:lineRule="exact"/>
              <w:rPr>
                <w:sz w:val="20"/>
                <w:szCs w:val="20"/>
                <w:color w:val="auto"/>
              </w:rPr>
            </w:pPr>
            <w:r>
              <w:rPr>
                <w:rFonts w:ascii="Arial" w:cs="Arial" w:eastAsia="Arial" w:hAnsi="Arial"/>
                <w:sz w:val="18"/>
                <w:szCs w:val="18"/>
                <w:color w:val="0563C1"/>
              </w:rPr>
              <w:t>of 2002.</w:t>
            </w:r>
          </w:p>
        </w:tc>
      </w:tr>
      <w:tr>
        <w:trPr>
          <w:trHeight w:val="20"/>
        </w:trPr>
        <w:tc>
          <w:tcPr>
            <w:tcW w:w="13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00" w:type="dxa"/>
            <w:vAlign w:val="bottom"/>
            <w:shd w:val="clear" w:color="auto" w:fill="0563C1"/>
          </w:tcPr>
          <w:p>
            <w:pPr>
              <w:spacing w:after="0" w:line="20" w:lineRule="exact"/>
              <w:rPr>
                <w:sz w:val="1"/>
                <w:szCs w:val="1"/>
                <w:color w:val="auto"/>
              </w:rPr>
            </w:pPr>
          </w:p>
        </w:tc>
        <w:tc>
          <w:tcPr>
            <w:tcW w:w="9240" w:type="dxa"/>
            <w:vAlign w:val="bottom"/>
            <w:gridSpan w:val="2"/>
          </w:tcPr>
          <w:p>
            <w:pPr>
              <w:spacing w:after="0" w:line="20" w:lineRule="exact"/>
              <w:rPr>
                <w:sz w:val="1"/>
                <w:szCs w:val="1"/>
                <w:color w:val="auto"/>
              </w:rPr>
            </w:pPr>
          </w:p>
        </w:tc>
      </w:tr>
      <w:tr>
        <w:trPr>
          <w:trHeight w:val="371"/>
        </w:trPr>
        <w:tc>
          <w:tcPr>
            <w:tcW w:w="1360" w:type="dxa"/>
            <w:vAlign w:val="bottom"/>
          </w:tcPr>
          <w:p>
            <w:pPr>
              <w:ind w:left="100"/>
              <w:spacing w:after="0"/>
              <w:rPr>
                <w:sz w:val="20"/>
                <w:szCs w:val="20"/>
                <w:color w:val="auto"/>
              </w:rPr>
            </w:pPr>
            <w:r>
              <w:rPr>
                <w:rFonts w:ascii="Arial" w:cs="Arial" w:eastAsia="Arial" w:hAnsi="Arial"/>
                <w:sz w:val="18"/>
                <w:szCs w:val="18"/>
                <w:color w:val="auto"/>
              </w:rPr>
              <w:t>32.2*</w:t>
            </w:r>
          </w:p>
        </w:tc>
        <w:tc>
          <w:tcPr>
            <w:tcW w:w="9840" w:type="dxa"/>
            <w:vAlign w:val="bottom"/>
            <w:tcBorders>
              <w:bottom w:val="single" w:sz="8" w:color="0563C1"/>
            </w:tcBorders>
            <w:gridSpan w:val="4"/>
          </w:tcPr>
          <w:p>
            <w:pPr>
              <w:spacing w:after="0"/>
              <w:rPr>
                <w:sz w:val="20"/>
                <w:szCs w:val="20"/>
                <w:color w:val="auto"/>
              </w:rPr>
            </w:pPr>
            <w:r>
              <w:rPr>
                <w:rFonts w:ascii="Arial" w:cs="Arial" w:eastAsia="Arial" w:hAnsi="Arial"/>
                <w:sz w:val="18"/>
                <w:szCs w:val="18"/>
                <w:color w:val="0563C1"/>
                <w:w w:val="92"/>
              </w:rPr>
              <w:t>Certification of Daniel L. Olivier pursuant to 18 U.S.C. Section 1350, as adopted pursuant to Section 906 of the Sarbanes-Oxley Act of</w:t>
            </w:r>
          </w:p>
        </w:tc>
      </w:tr>
      <w:tr>
        <w:trPr>
          <w:trHeight w:val="196"/>
        </w:trPr>
        <w:tc>
          <w:tcPr>
            <w:tcW w:w="1360" w:type="dxa"/>
            <w:vAlign w:val="bottom"/>
          </w:tcPr>
          <w:p>
            <w:pPr>
              <w:spacing w:after="0"/>
              <w:rPr>
                <w:sz w:val="17"/>
                <w:szCs w:val="17"/>
                <w:color w:val="auto"/>
              </w:rPr>
            </w:pPr>
          </w:p>
        </w:tc>
        <w:tc>
          <w:tcPr>
            <w:tcW w:w="400" w:type="dxa"/>
            <w:vAlign w:val="bottom"/>
            <w:tcBorders>
              <w:bottom w:val="single" w:sz="8" w:color="0563C1"/>
            </w:tcBorders>
          </w:tcPr>
          <w:p>
            <w:pPr>
              <w:spacing w:after="0" w:line="195" w:lineRule="exact"/>
              <w:rPr>
                <w:sz w:val="20"/>
                <w:szCs w:val="20"/>
                <w:color w:val="auto"/>
              </w:rPr>
            </w:pPr>
            <w:r>
              <w:rPr>
                <w:rFonts w:ascii="Arial" w:cs="Arial" w:eastAsia="Arial" w:hAnsi="Arial"/>
                <w:sz w:val="18"/>
                <w:szCs w:val="18"/>
                <w:color w:val="0563C1"/>
                <w:w w:val="84"/>
              </w:rPr>
              <w:t>2002.</w:t>
            </w: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7740" w:type="dxa"/>
            <w:vAlign w:val="bottom"/>
          </w:tcPr>
          <w:p>
            <w:pPr>
              <w:spacing w:after="0"/>
              <w:rPr>
                <w:sz w:val="17"/>
                <w:szCs w:val="17"/>
                <w:color w:val="auto"/>
              </w:rPr>
            </w:pPr>
          </w:p>
        </w:tc>
      </w:tr>
      <w:tr>
        <w:trPr>
          <w:trHeight w:val="412"/>
        </w:trPr>
        <w:tc>
          <w:tcPr>
            <w:tcW w:w="1360" w:type="dxa"/>
            <w:vAlign w:val="bottom"/>
          </w:tcPr>
          <w:p>
            <w:pPr>
              <w:spacing w:after="0"/>
              <w:rPr>
                <w:sz w:val="20"/>
                <w:szCs w:val="20"/>
                <w:color w:val="auto"/>
              </w:rPr>
            </w:pPr>
            <w:r>
              <w:rPr>
                <w:rFonts w:ascii="Arial" w:cs="Arial" w:eastAsia="Arial" w:hAnsi="Arial"/>
                <w:sz w:val="18"/>
                <w:szCs w:val="18"/>
                <w:color w:val="auto"/>
              </w:rPr>
              <w:t>101.INS*</w:t>
            </w:r>
          </w:p>
        </w:tc>
        <w:tc>
          <w:tcPr>
            <w:tcW w:w="9840" w:type="dxa"/>
            <w:vAlign w:val="bottom"/>
            <w:gridSpan w:val="4"/>
          </w:tcPr>
          <w:p>
            <w:pPr>
              <w:spacing w:after="0"/>
              <w:rPr>
                <w:sz w:val="20"/>
                <w:szCs w:val="20"/>
                <w:color w:val="auto"/>
              </w:rPr>
            </w:pPr>
            <w:r>
              <w:rPr>
                <w:rFonts w:ascii="Arial" w:cs="Arial" w:eastAsia="Arial" w:hAnsi="Arial"/>
                <w:sz w:val="18"/>
                <w:szCs w:val="18"/>
                <w:color w:val="auto"/>
              </w:rPr>
              <w:t>XBRL Instance Document</w:t>
            </w:r>
          </w:p>
        </w:tc>
      </w:tr>
      <w:tr>
        <w:trPr>
          <w:trHeight w:val="391"/>
        </w:trPr>
        <w:tc>
          <w:tcPr>
            <w:tcW w:w="1360" w:type="dxa"/>
            <w:vAlign w:val="bottom"/>
          </w:tcPr>
          <w:p>
            <w:pPr>
              <w:spacing w:after="0"/>
              <w:rPr>
                <w:sz w:val="20"/>
                <w:szCs w:val="20"/>
                <w:color w:val="auto"/>
              </w:rPr>
            </w:pPr>
            <w:r>
              <w:rPr>
                <w:rFonts w:ascii="Arial" w:cs="Arial" w:eastAsia="Arial" w:hAnsi="Arial"/>
                <w:sz w:val="18"/>
                <w:szCs w:val="18"/>
                <w:color w:val="auto"/>
              </w:rPr>
              <w:t>101.SCH*</w:t>
            </w:r>
          </w:p>
        </w:tc>
        <w:tc>
          <w:tcPr>
            <w:tcW w:w="9840" w:type="dxa"/>
            <w:vAlign w:val="bottom"/>
            <w:gridSpan w:val="4"/>
          </w:tcPr>
          <w:p>
            <w:pPr>
              <w:spacing w:after="0"/>
              <w:rPr>
                <w:sz w:val="20"/>
                <w:szCs w:val="20"/>
                <w:color w:val="auto"/>
              </w:rPr>
            </w:pPr>
            <w:r>
              <w:rPr>
                <w:rFonts w:ascii="Arial" w:cs="Arial" w:eastAsia="Arial" w:hAnsi="Arial"/>
                <w:sz w:val="18"/>
                <w:szCs w:val="18"/>
                <w:color w:val="auto"/>
              </w:rPr>
              <w:t>XBRL Taxonomy Extension Schema</w:t>
            </w:r>
          </w:p>
        </w:tc>
      </w:tr>
      <w:tr>
        <w:trPr>
          <w:trHeight w:val="391"/>
        </w:trPr>
        <w:tc>
          <w:tcPr>
            <w:tcW w:w="1360" w:type="dxa"/>
            <w:vAlign w:val="bottom"/>
          </w:tcPr>
          <w:p>
            <w:pPr>
              <w:spacing w:after="0"/>
              <w:rPr>
                <w:sz w:val="20"/>
                <w:szCs w:val="20"/>
                <w:color w:val="auto"/>
              </w:rPr>
            </w:pPr>
            <w:r>
              <w:rPr>
                <w:rFonts w:ascii="Arial" w:cs="Arial" w:eastAsia="Arial" w:hAnsi="Arial"/>
                <w:sz w:val="18"/>
                <w:szCs w:val="18"/>
                <w:color w:val="auto"/>
              </w:rPr>
              <w:t>101.CAL*</w:t>
            </w:r>
          </w:p>
        </w:tc>
        <w:tc>
          <w:tcPr>
            <w:tcW w:w="9840" w:type="dxa"/>
            <w:vAlign w:val="bottom"/>
            <w:gridSpan w:val="4"/>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391"/>
        </w:trPr>
        <w:tc>
          <w:tcPr>
            <w:tcW w:w="1360" w:type="dxa"/>
            <w:vAlign w:val="bottom"/>
          </w:tcPr>
          <w:p>
            <w:pPr>
              <w:spacing w:after="0"/>
              <w:rPr>
                <w:sz w:val="20"/>
                <w:szCs w:val="20"/>
                <w:color w:val="auto"/>
              </w:rPr>
            </w:pPr>
            <w:r>
              <w:rPr>
                <w:rFonts w:ascii="Arial" w:cs="Arial" w:eastAsia="Arial" w:hAnsi="Arial"/>
                <w:sz w:val="18"/>
                <w:szCs w:val="18"/>
                <w:color w:val="auto"/>
              </w:rPr>
              <w:t>101.DEF*</w:t>
            </w:r>
          </w:p>
        </w:tc>
        <w:tc>
          <w:tcPr>
            <w:tcW w:w="9840" w:type="dxa"/>
            <w:vAlign w:val="bottom"/>
            <w:gridSpan w:val="4"/>
          </w:tcPr>
          <w:p>
            <w:pPr>
              <w:spacing w:after="0"/>
              <w:rPr>
                <w:sz w:val="20"/>
                <w:szCs w:val="20"/>
                <w:color w:val="auto"/>
              </w:rPr>
            </w:pPr>
            <w:r>
              <w:rPr>
                <w:rFonts w:ascii="Arial" w:cs="Arial" w:eastAsia="Arial" w:hAnsi="Arial"/>
                <w:sz w:val="18"/>
                <w:szCs w:val="18"/>
                <w:color w:val="auto"/>
              </w:rPr>
              <w:t>XBRL Taxonomy Extension Definition Linkbase</w:t>
            </w:r>
          </w:p>
        </w:tc>
      </w:tr>
      <w:tr>
        <w:trPr>
          <w:trHeight w:val="391"/>
        </w:trPr>
        <w:tc>
          <w:tcPr>
            <w:tcW w:w="1360" w:type="dxa"/>
            <w:vAlign w:val="bottom"/>
          </w:tcPr>
          <w:p>
            <w:pPr>
              <w:spacing w:after="0"/>
              <w:rPr>
                <w:sz w:val="20"/>
                <w:szCs w:val="20"/>
                <w:color w:val="auto"/>
              </w:rPr>
            </w:pPr>
            <w:r>
              <w:rPr>
                <w:rFonts w:ascii="Arial" w:cs="Arial" w:eastAsia="Arial" w:hAnsi="Arial"/>
                <w:sz w:val="18"/>
                <w:szCs w:val="18"/>
                <w:color w:val="auto"/>
              </w:rPr>
              <w:t>101.LAB*</w:t>
            </w:r>
          </w:p>
        </w:tc>
        <w:tc>
          <w:tcPr>
            <w:tcW w:w="9840" w:type="dxa"/>
            <w:vAlign w:val="bottom"/>
            <w:gridSpan w:val="4"/>
          </w:tcPr>
          <w:p>
            <w:pPr>
              <w:spacing w:after="0"/>
              <w:rPr>
                <w:sz w:val="20"/>
                <w:szCs w:val="20"/>
                <w:color w:val="auto"/>
              </w:rPr>
            </w:pPr>
            <w:r>
              <w:rPr>
                <w:rFonts w:ascii="Arial" w:cs="Arial" w:eastAsia="Arial" w:hAnsi="Arial"/>
                <w:sz w:val="18"/>
                <w:szCs w:val="18"/>
                <w:color w:val="auto"/>
              </w:rPr>
              <w:t>XBRL Taxonomy Extension Label Linkbase</w:t>
            </w:r>
          </w:p>
        </w:tc>
      </w:tr>
      <w:tr>
        <w:trPr>
          <w:trHeight w:val="391"/>
        </w:trPr>
        <w:tc>
          <w:tcPr>
            <w:tcW w:w="1360" w:type="dxa"/>
            <w:vAlign w:val="bottom"/>
          </w:tcPr>
          <w:p>
            <w:pPr>
              <w:spacing w:after="0"/>
              <w:rPr>
                <w:sz w:val="20"/>
                <w:szCs w:val="20"/>
                <w:color w:val="auto"/>
              </w:rPr>
            </w:pPr>
            <w:r>
              <w:rPr>
                <w:rFonts w:ascii="Arial" w:cs="Arial" w:eastAsia="Arial" w:hAnsi="Arial"/>
                <w:sz w:val="18"/>
                <w:szCs w:val="18"/>
                <w:color w:val="auto"/>
              </w:rPr>
              <w:t>101.PRE*</w:t>
            </w:r>
          </w:p>
        </w:tc>
        <w:tc>
          <w:tcPr>
            <w:tcW w:w="9840" w:type="dxa"/>
            <w:vAlign w:val="bottom"/>
            <w:gridSpan w:val="4"/>
          </w:tcPr>
          <w:p>
            <w:pPr>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161" w:lineRule="exact"/>
        <w:rPr>
          <w:sz w:val="20"/>
          <w:szCs w:val="20"/>
          <w:color w:val="auto"/>
        </w:rPr>
      </w:pPr>
    </w:p>
    <w:p>
      <w:pPr>
        <w:ind w:right="4060" w:firstLine="21"/>
        <w:spacing w:after="0" w:line="515" w:lineRule="auto"/>
        <w:tabs>
          <w:tab w:leader="none" w:pos="1375" w:val="left"/>
        </w:tabs>
        <w:numPr>
          <w:ilvl w:val="1"/>
          <w:numId w:val="35"/>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 Indicates documents filed herewith.</w:t>
      </w:r>
    </w:p>
    <w:p>
      <w:pPr>
        <w:spacing w:after="0" w:line="1" w:lineRule="exact"/>
        <w:rPr>
          <w:rFonts w:ascii="Arial" w:cs="Arial" w:eastAsia="Arial" w:hAnsi="Arial"/>
          <w:sz w:val="18"/>
          <w:szCs w:val="18"/>
          <w:color w:val="auto"/>
        </w:rPr>
      </w:pPr>
    </w:p>
    <w:p>
      <w:pPr>
        <w:ind w:left="260" w:hanging="252"/>
        <w:spacing w:after="0"/>
        <w:tabs>
          <w:tab w:leader="none" w:pos="2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Certain schedules and similar attachments have been omitted. The Company agrees to furnish a supplemental copy of any omitted schedule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203771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69">
                      <a:extLst>
                        <a:ext uri="{28A0092B-C50C-407E-A947-70E740481C1C}"/>
                      </a:extLst>
                    </a:blip>
                    <a:srcRect/>
                    <a:stretch>
                      <a:fillRect/>
                    </a:stretch>
                  </pic:blipFill>
                  <pic:spPr bwMode="auto">
                    <a:xfrm>
                      <a:off x="0" y="0"/>
                      <a:ext cx="2037715" cy="8255"/>
                    </a:xfrm>
                    <a:prstGeom prst="rect">
                      <a:avLst/>
                    </a:prstGeom>
                    <a:noFill/>
                  </pic:spPr>
                </pic:pic>
              </a:graphicData>
            </a:graphic>
          </wp:anchor>
        </w:drawing>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attachment to the SEC upon request.</w:t>
      </w:r>
    </w:p>
    <w:p>
      <w:pPr>
        <w:spacing w:after="0" w:line="9" w:lineRule="exact"/>
        <w:rPr>
          <w:sz w:val="20"/>
          <w:szCs w:val="20"/>
          <w:color w:val="auto"/>
        </w:rPr>
      </w:pPr>
    </w:p>
    <w:p>
      <w:pPr>
        <w:ind w:right="2020" w:firstLine="8"/>
        <w:spacing w:after="0" w:line="491" w:lineRule="auto"/>
        <w:tabs>
          <w:tab w:leader="none" w:pos="225"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Confidential portions of this exhibit have been filed separately with the SEC pursuant to a request for confidential treatment. </w:t>
      </w:r>
      <w:r>
        <w:rPr>
          <w:rFonts w:ascii="Arial" w:cs="Arial" w:eastAsia="Arial" w:hAnsi="Arial"/>
          <w:sz w:val="18"/>
          <w:szCs w:val="18"/>
          <w:u w:val="single" w:color="auto"/>
          <w:color w:val="auto"/>
        </w:rPr>
        <w:t>Item 16. Form 10-K Summary</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8" w:right="35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u w:val="single" w:color="auto"/>
          <w:color w:val="auto"/>
        </w:rPr>
        <w:t>SIGNATURES</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Yellow Corporation</w:t>
      </w:r>
    </w:p>
    <w:p>
      <w:pPr>
        <w:spacing w:after="0" w:line="278" w:lineRule="exact"/>
        <w:rPr>
          <w:sz w:val="20"/>
          <w:szCs w:val="20"/>
          <w:color w:val="auto"/>
        </w:rPr>
      </w:pPr>
    </w:p>
    <w:p>
      <w:pPr>
        <w:ind w:left="60"/>
        <w:spacing w:after="0"/>
        <w:tabs>
          <w:tab w:leader="none" w:pos="5680" w:val="left"/>
          <w:tab w:leader="none" w:pos="6280" w:val="left"/>
        </w:tabs>
        <w:rPr>
          <w:sz w:val="20"/>
          <w:szCs w:val="20"/>
          <w:color w:val="auto"/>
        </w:rPr>
      </w:pPr>
      <w:r>
        <w:rPr>
          <w:rFonts w:ascii="Arial" w:cs="Arial" w:eastAsia="Arial" w:hAnsi="Arial"/>
          <w:sz w:val="18"/>
          <w:szCs w:val="18"/>
          <w:color w:val="auto"/>
        </w:rPr>
        <w:t>Date: February 9,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Darren D.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3961130</wp:posOffset>
            </wp:positionH>
            <wp:positionV relativeFrom="paragraph">
              <wp:posOffset>23495</wp:posOffset>
            </wp:positionV>
            <wp:extent cx="317690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71">
                      <a:extLst>
                        <a:ext uri="{28A0092B-C50C-407E-A947-70E740481C1C}"/>
                      </a:extLst>
                    </a:blip>
                    <a:srcRect/>
                    <a:stretch>
                      <a:fillRect/>
                    </a:stretch>
                  </pic:blipFill>
                  <pic:spPr bwMode="auto">
                    <a:xfrm>
                      <a:off x="0" y="0"/>
                      <a:ext cx="3176905" cy="8255"/>
                    </a:xfrm>
                    <a:prstGeom prst="rect">
                      <a:avLst/>
                    </a:prstGeom>
                    <a:noFill/>
                  </pic:spPr>
                </pic:pic>
              </a:graphicData>
            </a:graphic>
          </wp:anchor>
        </w:drawing>
      </w:r>
    </w:p>
    <w:p>
      <w:pPr>
        <w:spacing w:after="0" w:line="29"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Darren D. Hawkins</w:t>
      </w:r>
    </w:p>
    <w:p>
      <w:pPr>
        <w:spacing w:after="0" w:line="36"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Chief Executive Officer</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Know all people by these presents, that each person whose signature appears below constitutes and appoints Darren D. Hawkins and Leah K. Dawson, and each of them, his or her true and lawful attorney-in-fact and agent, with full power of substitution and resubstitution, for him or her and in his or her name, place and stead, in any and all capacities, to sign any amendments to this annual report on Form 10-K, and to file the same, with all exhibits thereto, with the Securities and Exchange Commission, granting unto said attorney-in-fact and agent full power and authority to do and perform each and every act and thing requisite and necessary to be done in and about the premises, as fully and to all intents and purposes as he or she might or could do in person, hereby confirming all that said attorney-in-fact and agent, or his substitute, may lawfully do or cause to be done by virtue hereof.</w:t>
      </w:r>
    </w:p>
    <w:p>
      <w:pPr>
        <w:spacing w:after="0" w:line="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40"/>
          </w:cols>
          <w:pgMar w:left="320" w:top="274" w:right="339" w:bottom="1440" w:gutter="0" w:footer="0" w:header="0"/>
        </w:sectPr>
      </w:pPr>
    </w:p>
    <w:p>
      <w:pPr>
        <w:spacing w:after="0" w:line="171" w:lineRule="exact"/>
        <w:rPr>
          <w:sz w:val="20"/>
          <w:szCs w:val="20"/>
          <w:color w:val="auto"/>
        </w:rPr>
      </w:pPr>
    </w:p>
    <w:tbl>
      <w:tblPr>
        <w:tblLayout w:type="fixed"/>
        <w:tblInd w:w="580" w:type="dxa"/>
        <w:tblCellMar>
          <w:top w:w="0" w:type="dxa"/>
          <w:left w:w="0" w:type="dxa"/>
          <w:bottom w:w="0" w:type="dxa"/>
          <w:right w:w="0" w:type="dxa"/>
        </w:tblCellMar>
      </w:tblPr>
      <w:tr>
        <w:trPr>
          <w:trHeight w:val="237"/>
        </w:trPr>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Darren D. Hawkins</w:t>
            </w:r>
          </w:p>
        </w:tc>
        <w:tc>
          <w:tcPr>
            <w:tcW w:w="3280" w:type="dxa"/>
            <w:vAlign w:val="bottom"/>
          </w:tcPr>
          <w:p>
            <w:pPr>
              <w:ind w:left="300"/>
              <w:spacing w:after="0"/>
              <w:rPr>
                <w:sz w:val="20"/>
                <w:szCs w:val="20"/>
                <w:color w:val="auto"/>
              </w:rPr>
            </w:pPr>
            <w:r>
              <w:rPr>
                <w:rFonts w:ascii="Arial" w:cs="Arial" w:eastAsia="Arial" w:hAnsi="Arial"/>
                <w:sz w:val="18"/>
                <w:szCs w:val="18"/>
                <w:color w:val="auto"/>
              </w:rPr>
              <w:t>Chief Executive Officer and Director</w:t>
            </w: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Darren D. Hawkins</w:t>
            </w:r>
          </w:p>
        </w:tc>
        <w:tc>
          <w:tcPr>
            <w:tcW w:w="3280" w:type="dxa"/>
            <w:vAlign w:val="bottom"/>
          </w:tcPr>
          <w:p>
            <w:pPr>
              <w:spacing w:after="0"/>
              <w:rPr>
                <w:sz w:val="20"/>
                <w:szCs w:val="20"/>
                <w:color w:val="auto"/>
              </w:rPr>
            </w:pPr>
          </w:p>
        </w:tc>
      </w:tr>
      <w:tr>
        <w:trPr>
          <w:trHeight w:val="397"/>
        </w:trPr>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L. Olivier</w:t>
            </w:r>
          </w:p>
        </w:tc>
        <w:tc>
          <w:tcPr>
            <w:tcW w:w="3280" w:type="dxa"/>
            <w:vAlign w:val="bottom"/>
          </w:tcPr>
          <w:p>
            <w:pPr>
              <w:ind w:left="300"/>
              <w:spacing w:after="0"/>
              <w:rPr>
                <w:sz w:val="20"/>
                <w:szCs w:val="20"/>
                <w:color w:val="auto"/>
              </w:rPr>
            </w:pPr>
            <w:r>
              <w:rPr>
                <w:rFonts w:ascii="Arial" w:cs="Arial" w:eastAsia="Arial" w:hAnsi="Arial"/>
                <w:sz w:val="18"/>
                <w:szCs w:val="18"/>
                <w:color w:val="auto"/>
              </w:rPr>
              <w:t>Chief Financial Officer</w:t>
            </w:r>
          </w:p>
        </w:tc>
      </w:tr>
      <w:tr>
        <w:trPr>
          <w:trHeight w:val="215"/>
        </w:trPr>
        <w:tc>
          <w:tcPr>
            <w:tcW w:w="3700" w:type="dxa"/>
            <w:vAlign w:val="bottom"/>
          </w:tcPr>
          <w:p>
            <w:pPr>
              <w:spacing w:after="0"/>
              <w:rPr>
                <w:sz w:val="20"/>
                <w:szCs w:val="20"/>
                <w:color w:val="auto"/>
              </w:rPr>
            </w:pPr>
            <w:r>
              <w:rPr>
                <w:rFonts w:ascii="Arial" w:cs="Arial" w:eastAsia="Arial" w:hAnsi="Arial"/>
                <w:sz w:val="18"/>
                <w:szCs w:val="18"/>
                <w:color w:val="auto"/>
              </w:rPr>
              <w:t>Daniel L. Olivier</w:t>
            </w:r>
          </w:p>
        </w:tc>
        <w:tc>
          <w:tcPr>
            <w:tcW w:w="3280" w:type="dxa"/>
            <w:vAlign w:val="bottom"/>
          </w:tcPr>
          <w:p>
            <w:pPr>
              <w:ind w:left="300"/>
              <w:spacing w:after="0"/>
              <w:rPr>
                <w:sz w:val="20"/>
                <w:szCs w:val="20"/>
                <w:color w:val="auto"/>
              </w:rPr>
            </w:pPr>
            <w:r>
              <w:rPr>
                <w:rFonts w:ascii="Arial" w:cs="Arial" w:eastAsia="Arial" w:hAnsi="Arial"/>
                <w:sz w:val="18"/>
                <w:szCs w:val="18"/>
                <w:color w:val="auto"/>
                <w:w w:val="92"/>
              </w:rPr>
              <w:t>(Principal Financial Officer and Principal</w:t>
            </w:r>
          </w:p>
        </w:tc>
      </w:tr>
      <w:tr>
        <w:trPr>
          <w:trHeight w:val="230"/>
        </w:trPr>
        <w:tc>
          <w:tcPr>
            <w:tcW w:w="3700" w:type="dxa"/>
            <w:vAlign w:val="bottom"/>
          </w:tcPr>
          <w:p>
            <w:pPr>
              <w:spacing w:after="0"/>
              <w:rPr>
                <w:sz w:val="20"/>
                <w:szCs w:val="20"/>
                <w:color w:val="auto"/>
              </w:rPr>
            </w:pPr>
          </w:p>
        </w:tc>
        <w:tc>
          <w:tcPr>
            <w:tcW w:w="3280" w:type="dxa"/>
            <w:vAlign w:val="bottom"/>
          </w:tcPr>
          <w:p>
            <w:pPr>
              <w:ind w:left="300"/>
              <w:spacing w:after="0"/>
              <w:rPr>
                <w:sz w:val="20"/>
                <w:szCs w:val="20"/>
                <w:color w:val="auto"/>
              </w:rPr>
            </w:pPr>
            <w:r>
              <w:rPr>
                <w:rFonts w:ascii="Arial" w:cs="Arial" w:eastAsia="Arial" w:hAnsi="Arial"/>
                <w:sz w:val="18"/>
                <w:szCs w:val="18"/>
                <w:color w:val="auto"/>
              </w:rPr>
              <w:t>Accounting Officer)</w:t>
            </w:r>
          </w:p>
        </w:tc>
      </w:tr>
      <w:tr>
        <w:trPr>
          <w:trHeight w:val="398"/>
        </w:trPr>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Douglas A. Carty</w:t>
            </w:r>
          </w:p>
        </w:tc>
        <w:tc>
          <w:tcPr>
            <w:tcW w:w="3280" w:type="dxa"/>
            <w:vAlign w:val="bottom"/>
          </w:tcPr>
          <w:p>
            <w:pPr>
              <w:ind w:left="300"/>
              <w:spacing w:after="0"/>
              <w:rPr>
                <w:sz w:val="20"/>
                <w:szCs w:val="20"/>
                <w:color w:val="auto"/>
              </w:rPr>
            </w:pPr>
            <w:r>
              <w:rPr>
                <w:rFonts w:ascii="Arial" w:cs="Arial" w:eastAsia="Arial" w:hAnsi="Arial"/>
                <w:sz w:val="18"/>
                <w:szCs w:val="18"/>
                <w:color w:val="auto"/>
              </w:rPr>
              <w:t>Director</w:t>
            </w: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Douglas A. Carty</w:t>
            </w:r>
          </w:p>
        </w:tc>
        <w:tc>
          <w:tcPr>
            <w:tcW w:w="3280" w:type="dxa"/>
            <w:vAlign w:val="bottom"/>
          </w:tcPr>
          <w:p>
            <w:pPr>
              <w:spacing w:after="0"/>
              <w:rPr>
                <w:sz w:val="20"/>
                <w:szCs w:val="20"/>
                <w:color w:val="auto"/>
              </w:rPr>
            </w:pPr>
          </w:p>
        </w:tc>
      </w:tr>
      <w:tr>
        <w:trPr>
          <w:trHeight w:val="397"/>
        </w:trPr>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A. Doheny</w:t>
            </w:r>
          </w:p>
        </w:tc>
        <w:tc>
          <w:tcPr>
            <w:tcW w:w="3280" w:type="dxa"/>
            <w:vAlign w:val="bottom"/>
          </w:tcPr>
          <w:p>
            <w:pPr>
              <w:ind w:left="300"/>
              <w:spacing w:after="0"/>
              <w:rPr>
                <w:sz w:val="20"/>
                <w:szCs w:val="20"/>
                <w:color w:val="auto"/>
              </w:rPr>
            </w:pPr>
            <w:r>
              <w:rPr>
                <w:rFonts w:ascii="Arial" w:cs="Arial" w:eastAsia="Arial" w:hAnsi="Arial"/>
                <w:sz w:val="18"/>
                <w:szCs w:val="18"/>
                <w:color w:val="auto"/>
              </w:rPr>
              <w:t>Director</w:t>
            </w: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Matthew A. Doheny</w:t>
            </w:r>
          </w:p>
        </w:tc>
        <w:tc>
          <w:tcPr>
            <w:tcW w:w="3280" w:type="dxa"/>
            <w:vAlign w:val="bottom"/>
          </w:tcPr>
          <w:p>
            <w:pPr>
              <w:spacing w:after="0"/>
              <w:rPr>
                <w:sz w:val="20"/>
                <w:szCs w:val="20"/>
                <w:color w:val="auto"/>
              </w:rPr>
            </w:pPr>
          </w:p>
        </w:tc>
      </w:tr>
      <w:tr>
        <w:trPr>
          <w:trHeight w:val="397"/>
        </w:trPr>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Javier L. Evans</w:t>
            </w:r>
          </w:p>
        </w:tc>
        <w:tc>
          <w:tcPr>
            <w:tcW w:w="3280" w:type="dxa"/>
            <w:vAlign w:val="bottom"/>
          </w:tcPr>
          <w:p>
            <w:pPr>
              <w:ind w:left="300"/>
              <w:spacing w:after="0"/>
              <w:rPr>
                <w:sz w:val="20"/>
                <w:szCs w:val="20"/>
                <w:color w:val="auto"/>
              </w:rPr>
            </w:pPr>
            <w:r>
              <w:rPr>
                <w:rFonts w:ascii="Arial" w:cs="Arial" w:eastAsia="Arial" w:hAnsi="Arial"/>
                <w:sz w:val="18"/>
                <w:szCs w:val="18"/>
                <w:color w:val="auto"/>
              </w:rPr>
              <w:t>Director</w:t>
            </w: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Javier L. Evans</w:t>
            </w:r>
          </w:p>
        </w:tc>
        <w:tc>
          <w:tcPr>
            <w:tcW w:w="3280" w:type="dxa"/>
            <w:vAlign w:val="bottom"/>
          </w:tcPr>
          <w:p>
            <w:pPr>
              <w:spacing w:after="0"/>
              <w:rPr>
                <w:sz w:val="20"/>
                <w:szCs w:val="20"/>
                <w:color w:val="auto"/>
              </w:rPr>
            </w:pPr>
          </w:p>
        </w:tc>
      </w:tr>
      <w:tr>
        <w:trPr>
          <w:trHeight w:val="491"/>
        </w:trPr>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E. Hoffman</w:t>
            </w:r>
          </w:p>
        </w:tc>
        <w:tc>
          <w:tcPr>
            <w:tcW w:w="3280" w:type="dxa"/>
            <w:vAlign w:val="bottom"/>
          </w:tcPr>
          <w:p>
            <w:pPr>
              <w:ind w:left="300"/>
              <w:spacing w:after="0"/>
              <w:rPr>
                <w:sz w:val="20"/>
                <w:szCs w:val="20"/>
                <w:color w:val="auto"/>
              </w:rPr>
            </w:pPr>
            <w:r>
              <w:rPr>
                <w:rFonts w:ascii="Arial" w:cs="Arial" w:eastAsia="Arial" w:hAnsi="Arial"/>
                <w:sz w:val="18"/>
                <w:szCs w:val="18"/>
                <w:color w:val="auto"/>
              </w:rPr>
              <w:t>Director</w:t>
            </w: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James E. Hoffman</w:t>
            </w:r>
          </w:p>
        </w:tc>
        <w:tc>
          <w:tcPr>
            <w:tcW w:w="3280" w:type="dxa"/>
            <w:vAlign w:val="bottom"/>
          </w:tcPr>
          <w:p>
            <w:pPr>
              <w:spacing w:after="0"/>
              <w:rPr>
                <w:sz w:val="20"/>
                <w:szCs w:val="20"/>
                <w:color w:val="auto"/>
              </w:rPr>
            </w:pPr>
          </w:p>
        </w:tc>
      </w:tr>
      <w:tr>
        <w:trPr>
          <w:trHeight w:val="491"/>
        </w:trPr>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Shaunna D. Jones</w:t>
            </w:r>
          </w:p>
        </w:tc>
        <w:tc>
          <w:tcPr>
            <w:tcW w:w="3280" w:type="dxa"/>
            <w:vAlign w:val="bottom"/>
          </w:tcPr>
          <w:p>
            <w:pPr>
              <w:ind w:left="300"/>
              <w:spacing w:after="0"/>
              <w:rPr>
                <w:sz w:val="20"/>
                <w:szCs w:val="20"/>
                <w:color w:val="auto"/>
              </w:rPr>
            </w:pPr>
            <w:r>
              <w:rPr>
                <w:rFonts w:ascii="Arial" w:cs="Arial" w:eastAsia="Arial" w:hAnsi="Arial"/>
                <w:sz w:val="18"/>
                <w:szCs w:val="18"/>
                <w:color w:val="auto"/>
              </w:rPr>
              <w:t>Director</w:t>
            </w: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Shaunna D. Jones</w:t>
            </w:r>
          </w:p>
        </w:tc>
        <w:tc>
          <w:tcPr>
            <w:tcW w:w="3280" w:type="dxa"/>
            <w:vAlign w:val="bottom"/>
          </w:tcPr>
          <w:p>
            <w:pPr>
              <w:spacing w:after="0"/>
              <w:rPr>
                <w:sz w:val="20"/>
                <w:szCs w:val="20"/>
                <w:color w:val="auto"/>
              </w:rPr>
            </w:pPr>
          </w:p>
        </w:tc>
      </w:tr>
      <w:tr>
        <w:trPr>
          <w:trHeight w:val="491"/>
        </w:trPr>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Susana Martinez</w:t>
            </w:r>
          </w:p>
        </w:tc>
        <w:tc>
          <w:tcPr>
            <w:tcW w:w="3280" w:type="dxa"/>
            <w:vAlign w:val="bottom"/>
          </w:tcPr>
          <w:p>
            <w:pPr>
              <w:ind w:left="300"/>
              <w:spacing w:after="0"/>
              <w:rPr>
                <w:sz w:val="20"/>
                <w:szCs w:val="20"/>
                <w:color w:val="auto"/>
              </w:rPr>
            </w:pPr>
            <w:r>
              <w:rPr>
                <w:rFonts w:ascii="Arial" w:cs="Arial" w:eastAsia="Arial" w:hAnsi="Arial"/>
                <w:sz w:val="18"/>
                <w:szCs w:val="18"/>
                <w:color w:val="auto"/>
              </w:rPr>
              <w:t>Director</w:t>
            </w: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Susana Martinez</w:t>
            </w:r>
          </w:p>
        </w:tc>
        <w:tc>
          <w:tcPr>
            <w:tcW w:w="3280" w:type="dxa"/>
            <w:vAlign w:val="bottom"/>
          </w:tcPr>
          <w:p>
            <w:pPr>
              <w:spacing w:after="0"/>
              <w:rPr>
                <w:sz w:val="20"/>
                <w:szCs w:val="20"/>
                <w:color w:val="auto"/>
              </w:rPr>
            </w:pPr>
          </w:p>
        </w:tc>
      </w:tr>
      <w:tr>
        <w:trPr>
          <w:trHeight w:val="491"/>
        </w:trPr>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S. McClimon</w:t>
            </w:r>
          </w:p>
        </w:tc>
        <w:tc>
          <w:tcPr>
            <w:tcW w:w="3280" w:type="dxa"/>
            <w:vAlign w:val="bottom"/>
          </w:tcPr>
          <w:p>
            <w:pPr>
              <w:ind w:left="300"/>
              <w:spacing w:after="0"/>
              <w:rPr>
                <w:sz w:val="20"/>
                <w:szCs w:val="20"/>
                <w:color w:val="auto"/>
              </w:rPr>
            </w:pPr>
            <w:r>
              <w:rPr>
                <w:rFonts w:ascii="Arial" w:cs="Arial" w:eastAsia="Arial" w:hAnsi="Arial"/>
                <w:sz w:val="18"/>
                <w:szCs w:val="18"/>
                <w:color w:val="auto"/>
              </w:rPr>
              <w:t>Director</w:t>
            </w: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David S. McClimon</w:t>
            </w:r>
          </w:p>
        </w:tc>
        <w:tc>
          <w:tcPr>
            <w:tcW w:w="3280" w:type="dxa"/>
            <w:vAlign w:val="bottom"/>
          </w:tcPr>
          <w:p>
            <w:pPr>
              <w:spacing w:after="0"/>
              <w:rPr>
                <w:sz w:val="20"/>
                <w:szCs w:val="20"/>
                <w:color w:val="auto"/>
              </w:rPr>
            </w:pPr>
          </w:p>
        </w:tc>
      </w:tr>
      <w:tr>
        <w:trPr>
          <w:trHeight w:val="491"/>
        </w:trPr>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Patricia M. Nazemetz</w:t>
            </w:r>
          </w:p>
        </w:tc>
        <w:tc>
          <w:tcPr>
            <w:tcW w:w="3280" w:type="dxa"/>
            <w:vAlign w:val="bottom"/>
          </w:tcPr>
          <w:p>
            <w:pPr>
              <w:ind w:left="300"/>
              <w:spacing w:after="0"/>
              <w:rPr>
                <w:sz w:val="20"/>
                <w:szCs w:val="20"/>
                <w:color w:val="auto"/>
              </w:rPr>
            </w:pPr>
            <w:r>
              <w:rPr>
                <w:rFonts w:ascii="Arial" w:cs="Arial" w:eastAsia="Arial" w:hAnsi="Arial"/>
                <w:sz w:val="18"/>
                <w:szCs w:val="18"/>
                <w:color w:val="auto"/>
              </w:rPr>
              <w:t>Director</w:t>
            </w: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Patricia M. Nazemetz</w:t>
            </w:r>
          </w:p>
        </w:tc>
        <w:tc>
          <w:tcPr>
            <w:tcW w:w="3280" w:type="dxa"/>
            <w:vAlign w:val="bottom"/>
          </w:tcPr>
          <w:p>
            <w:pPr>
              <w:spacing w:after="0"/>
              <w:rPr>
                <w:sz w:val="20"/>
                <w:szCs w:val="20"/>
                <w:color w:val="auto"/>
              </w:rPr>
            </w:pPr>
          </w:p>
        </w:tc>
      </w:tr>
      <w:tr>
        <w:trPr>
          <w:trHeight w:val="491"/>
        </w:trPr>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 T. Sultemeier</w:t>
            </w:r>
          </w:p>
        </w:tc>
        <w:tc>
          <w:tcPr>
            <w:tcW w:w="3280" w:type="dxa"/>
            <w:vAlign w:val="bottom"/>
          </w:tcPr>
          <w:p>
            <w:pPr>
              <w:ind w:left="300"/>
              <w:spacing w:after="0"/>
              <w:rPr>
                <w:sz w:val="20"/>
                <w:szCs w:val="20"/>
                <w:color w:val="auto"/>
              </w:rPr>
            </w:pPr>
            <w:r>
              <w:rPr>
                <w:rFonts w:ascii="Arial" w:cs="Arial" w:eastAsia="Arial" w:hAnsi="Arial"/>
                <w:sz w:val="18"/>
                <w:szCs w:val="18"/>
                <w:color w:val="auto"/>
              </w:rPr>
              <w:t>Director</w:t>
            </w: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Chris T. Sultemeier</w:t>
            </w:r>
          </w:p>
        </w:tc>
        <w:tc>
          <w:tcPr>
            <w:tcW w:w="32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February 9, 2023</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color w:val="auto"/>
        </w:rPr>
        <w:t>February 9, 2023</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auto"/>
        </w:rPr>
        <w:t>February 9, 2023</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color w:val="auto"/>
        </w:rPr>
        <w:t>February 9, 2023</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color w:val="auto"/>
        </w:rPr>
        <w:t>February 9, 2023</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color w:val="auto"/>
        </w:rPr>
        <w:t>February 9, 2023</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color w:val="auto"/>
        </w:rPr>
        <w:t>February 9, 2023</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color w:val="auto"/>
        </w:rPr>
        <w:t>February 9, 2023</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color w:val="auto"/>
        </w:rPr>
        <w:t>February 9, 2023</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color w:val="auto"/>
        </w:rPr>
        <w:t>February 9, 2023</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color w:val="auto"/>
        </w:rPr>
        <w:t>February 9, 2023</w:t>
      </w:r>
    </w:p>
    <w:p>
      <w:pPr>
        <w:spacing w:after="0" w:line="489" w:lineRule="exact"/>
        <w:rPr>
          <w:sz w:val="20"/>
          <w:szCs w:val="20"/>
          <w:color w:val="auto"/>
        </w:rPr>
      </w:pPr>
    </w:p>
    <w:p>
      <w:pPr>
        <w:sectPr>
          <w:pgSz w:w="11900" w:h="16838" w:orient="portrait"/>
          <w:cols w:equalWidth="0" w:num="2">
            <w:col w:w="7840" w:space="720"/>
            <w:col w:w="2680"/>
          </w:cols>
          <w:pgMar w:left="320" w:top="274" w:right="339" w:bottom="1440" w:gutter="0" w:footer="0" w:header="0"/>
          <w:type w:val="continuous"/>
        </w:sect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type w:val="continuous"/>
        </w:sectPr>
      </w:pPr>
    </w:p>
    <w:bookmarkStart w:id="73" w:name="page74"/>
    <w:bookmarkEnd w:id="73"/>
    <w:p>
      <w:pPr>
        <w:jc w:val="right"/>
        <w:spacing w:after="0"/>
        <w:rPr>
          <w:sz w:val="20"/>
          <w:szCs w:val="20"/>
          <w:color w:val="auto"/>
        </w:rPr>
      </w:pPr>
      <w:r>
        <w:rPr>
          <w:rFonts w:ascii="Arial" w:cs="Arial" w:eastAsia="Arial" w:hAnsi="Arial"/>
          <w:sz w:val="22"/>
          <w:szCs w:val="22"/>
          <w:b w:val="1"/>
          <w:bCs w:val="1"/>
          <w:color w:val="auto"/>
        </w:rPr>
        <w:t>Exhibit 4.1</w:t>
      </w:r>
    </w:p>
    <w:p>
      <w:pPr>
        <w:spacing w:after="0" w:line="200" w:lineRule="exact"/>
        <w:rPr>
          <w:sz w:val="20"/>
          <w:szCs w:val="20"/>
          <w:color w:val="auto"/>
        </w:rPr>
      </w:pPr>
    </w:p>
    <w:p>
      <w:pPr>
        <w:spacing w:after="0" w:line="255" w:lineRule="exact"/>
        <w:rPr>
          <w:sz w:val="20"/>
          <w:szCs w:val="20"/>
          <w:color w:val="auto"/>
        </w:rPr>
      </w:pPr>
    </w:p>
    <w:p>
      <w:pPr>
        <w:jc w:val="both"/>
        <w:ind w:firstLine="749"/>
        <w:spacing w:after="0" w:line="281" w:lineRule="auto"/>
        <w:rPr>
          <w:sz w:val="20"/>
          <w:szCs w:val="20"/>
          <w:color w:val="auto"/>
        </w:rPr>
      </w:pPr>
      <w:r>
        <w:rPr>
          <w:rFonts w:ascii="Arial" w:cs="Arial" w:eastAsia="Arial" w:hAnsi="Arial"/>
          <w:sz w:val="19"/>
          <w:szCs w:val="19"/>
          <w:color w:val="auto"/>
        </w:rPr>
        <w:t>The following is a description of the common stock, $0.01 par value per share (the “Common Stock”), of Yellow Corporation (the “Company”), which is the only security of the Company registered pursuant to Section 12 of the Securities Exchange Act of 1934, as amended (the “Exchange Act”). The following summary description of the Common Stock is not complete and is qualified in its entirety by reference to our Amended and Restated Articles of Incorporation, as amended, our Amended and Restated Bylaws, as amended, and applicable provisions of the Delaware General Corporation Law (the “DGCL”).</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Common Stock</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General</w:t>
      </w:r>
    </w:p>
    <w:p>
      <w:pPr>
        <w:spacing w:after="0" w:line="20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Our certificate of incorporation authorizes us to issue 33,333,333 shares of Common Stock.</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Dividends</w:t>
      </w:r>
    </w:p>
    <w:p>
      <w:pPr>
        <w:spacing w:after="0" w:line="205"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Subject to the preferences applicable to outstanding shares of preferred stock (if any), the holders of shares of Common Stock are entitled to receive ratably any dividends declared by our board of directors out of the funds legally available for that purpose.</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Liquidation</w:t>
      </w:r>
    </w:p>
    <w:p>
      <w:pPr>
        <w:spacing w:after="0" w:line="205"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In the event of liquidation, holders of shares of Common Stock will be entitled to receive any assets remaining after the payment of our debts and the expenses of liquidation, subject to the preferences applicable to outstanding shares of preferred stock (if any).</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Other</w:t>
      </w:r>
    </w:p>
    <w:p>
      <w:pPr>
        <w:spacing w:after="0" w:line="20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The holders of shares of Common Stock have no pre-emptive, subscription or conversion rights. All issued and outstanding shares of common stock are validly issued, fully paid and nonassessable.</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Transfer Agent</w:t>
      </w:r>
    </w:p>
    <w:p>
      <w:pPr>
        <w:spacing w:after="0" w:line="20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The transfer agent and registrar for our Common Stock is Computershare Trust Company, N.A.</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Voting Rights</w:t>
      </w:r>
    </w:p>
    <w:p>
      <w:pPr>
        <w:spacing w:after="0" w:line="211" w:lineRule="exact"/>
        <w:rPr>
          <w:sz w:val="20"/>
          <w:szCs w:val="20"/>
          <w:color w:val="auto"/>
        </w:rPr>
      </w:pPr>
    </w:p>
    <w:p>
      <w:pPr>
        <w:ind w:left="760"/>
        <w:spacing w:after="0"/>
        <w:rPr>
          <w:sz w:val="20"/>
          <w:szCs w:val="20"/>
          <w:color w:val="auto"/>
        </w:rPr>
      </w:pPr>
      <w:r>
        <w:rPr>
          <w:rFonts w:ascii="Arial" w:cs="Arial" w:eastAsia="Arial" w:hAnsi="Arial"/>
          <w:sz w:val="22"/>
          <w:szCs w:val="22"/>
          <w:color w:val="auto"/>
        </w:rPr>
        <w:t>Our Common Stock is entitled to one vote per share.</w:t>
      </w:r>
    </w:p>
    <w:p>
      <w:pPr>
        <w:spacing w:after="0" w:line="205"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Except as otherwise required by law, the certificate of incorporation, or any preferred stock designation, holders of Common Stock are not entitled to vote on any amendment to the certificate of incorporation or any preferred stock designation that relates solely to the terms of one or more outstanding series of preferred stock if the holders of such affected series of preferred stock are entitled to vote thereon pursuant to the certificate of incorporation, any preferred stock designation, or the DGCL.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281305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4" w:name="page75"/>
    <w:bookmarkEnd w:id="74"/>
    <w:p>
      <w:pPr>
        <w:spacing w:after="0"/>
        <w:rPr>
          <w:sz w:val="20"/>
          <w:szCs w:val="20"/>
          <w:color w:val="auto"/>
        </w:rPr>
      </w:pPr>
      <w:r>
        <w:rPr>
          <w:rFonts w:ascii="Arial" w:cs="Arial" w:eastAsia="Arial" w:hAnsi="Arial"/>
          <w:sz w:val="22"/>
          <w:szCs w:val="22"/>
          <w:b w:val="1"/>
          <w:bCs w:val="1"/>
          <w:color w:val="auto"/>
        </w:rPr>
        <w:t>Delaware Anti-Takeover Law; No Super-Majority Approval</w:t>
      </w:r>
    </w:p>
    <w:p>
      <w:pPr>
        <w:spacing w:after="0" w:line="211" w:lineRule="exact"/>
        <w:rPr>
          <w:sz w:val="20"/>
          <w:szCs w:val="20"/>
          <w:color w:val="auto"/>
        </w:rPr>
      </w:pPr>
    </w:p>
    <w:p>
      <w:pPr>
        <w:jc w:val="both"/>
        <w:ind w:firstLine="749"/>
        <w:spacing w:after="0" w:line="297" w:lineRule="auto"/>
        <w:rPr>
          <w:sz w:val="20"/>
          <w:szCs w:val="20"/>
          <w:color w:val="auto"/>
        </w:rPr>
      </w:pPr>
      <w:r>
        <w:rPr>
          <w:rFonts w:ascii="Arial" w:cs="Arial" w:eastAsia="Arial" w:hAnsi="Arial"/>
          <w:sz w:val="19"/>
          <w:szCs w:val="19"/>
          <w:color w:val="auto"/>
        </w:rPr>
        <w:t>We are not subject to Section 203 of the DGCL (“Section 203”). In general, Section 203 prohibits a publicly held Delaware corporation from engaging in various “business combination” transactions with any interested stockholder for a period of three years following the time that such person became an interested stockholder, unless certain conditions are satisfied.</w:t>
      </w:r>
    </w:p>
    <w:p>
      <w:pPr>
        <w:spacing w:after="0" w:line="133" w:lineRule="exact"/>
        <w:rPr>
          <w:sz w:val="20"/>
          <w:szCs w:val="20"/>
          <w:color w:val="auto"/>
        </w:rPr>
      </w:pPr>
    </w:p>
    <w:p>
      <w:pPr>
        <w:ind w:right="360" w:firstLine="749"/>
        <w:spacing w:after="0" w:line="434" w:lineRule="auto"/>
        <w:rPr>
          <w:sz w:val="20"/>
          <w:szCs w:val="20"/>
          <w:color w:val="auto"/>
        </w:rPr>
      </w:pPr>
      <w:r>
        <w:rPr>
          <w:rFonts w:ascii="Arial" w:cs="Arial" w:eastAsia="Arial" w:hAnsi="Arial"/>
          <w:sz w:val="22"/>
          <w:szCs w:val="22"/>
          <w:color w:val="auto"/>
        </w:rPr>
        <w:t xml:space="preserve">The certificate of incorporation does not require “super-majority” approval of any business combination transactions. </w:t>
      </w:r>
      <w:r>
        <w:rPr>
          <w:rFonts w:ascii="Arial" w:cs="Arial" w:eastAsia="Arial" w:hAnsi="Arial"/>
          <w:sz w:val="22"/>
          <w:szCs w:val="22"/>
          <w:b w:val="1"/>
          <w:bCs w:val="1"/>
          <w:color w:val="auto"/>
        </w:rPr>
        <w:t>Board Size; Director Election and Removal</w:t>
      </w:r>
    </w:p>
    <w:p>
      <w:pPr>
        <w:spacing w:after="0" w:line="2"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20"/>
          <w:szCs w:val="20"/>
          <w:color w:val="auto"/>
        </w:rPr>
        <w:t>Our certificate of incorporation provides that the board shall initially consist of nine persons until the precise number of directors, other than those who may be elected by the holders of one or more series of preferred stock voting separately by class or series, shall be fixed from time to time pursuant to a resolution adopted by a majority of the whole board (the total number of directors the Company would have if there were no vacancies). Other than the directors appointed by the International Brotherhood of Teamsters (the “IBT”) as the holder of the one share of the Company’s Series A Voting Preferred Stock, board members are elected annually at the annual meeting of stockholders and serve one-year terms to expire at the following annual meeting of stockholders. Newly created directorships resulting from any increase in the authorized number of directors or vacancies on the Board are filled by a majority vote of the directors then in office, and directors so chosen shall serve for a term expiring at the next annual meeting of stockholders.</w:t>
      </w:r>
    </w:p>
    <w:p>
      <w:pPr>
        <w:spacing w:after="0" w:line="167"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20"/>
          <w:szCs w:val="20"/>
          <w:color w:val="auto"/>
        </w:rPr>
        <w:t>Members of the board may be removed from office at any time, with or without cause, by the affirmative vote of holders of a majority of the voting power. However, vacancies on the board resulting from the removal of a director appointed by the IBT may be filled solely by the IBT as the holder of the one share of the Company’s Series A Voting Preferred Stock.</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Stockholder Meetings; Written Consent</w:t>
      </w:r>
    </w:p>
    <w:p>
      <w:pPr>
        <w:spacing w:after="0" w:line="211" w:lineRule="exact"/>
        <w:rPr>
          <w:sz w:val="20"/>
          <w:szCs w:val="20"/>
          <w:color w:val="auto"/>
        </w:rPr>
      </w:pPr>
    </w:p>
    <w:p>
      <w:pPr>
        <w:jc w:val="both"/>
        <w:ind w:firstLine="749"/>
        <w:spacing w:after="0" w:line="268" w:lineRule="auto"/>
        <w:rPr>
          <w:sz w:val="20"/>
          <w:szCs w:val="20"/>
          <w:color w:val="auto"/>
        </w:rPr>
      </w:pPr>
      <w:r>
        <w:rPr>
          <w:rFonts w:ascii="Arial" w:cs="Arial" w:eastAsia="Arial" w:hAnsi="Arial"/>
          <w:sz w:val="20"/>
          <w:szCs w:val="20"/>
          <w:color w:val="auto"/>
        </w:rPr>
        <w:t>Stockholders are entitled to take action by written consent if the consent is signed by holders of not less than the minimum voting power that would be necessary to authorize or take the action at a stockholder meeting and if the board of directors approves in advance the taking of such action. Special meetings of the stockholders may be called by the secretary of the Company upon the written request of at least 25% of the voting power if certain notice requirements are met.</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Amendment of Bylaws</w:t>
      </w:r>
    </w:p>
    <w:p>
      <w:pPr>
        <w:spacing w:after="0" w:line="211" w:lineRule="exact"/>
        <w:rPr>
          <w:sz w:val="20"/>
          <w:szCs w:val="20"/>
          <w:color w:val="auto"/>
        </w:rPr>
      </w:pPr>
    </w:p>
    <w:p>
      <w:pPr>
        <w:jc w:val="both"/>
        <w:ind w:firstLine="749"/>
        <w:spacing w:after="0" w:line="299" w:lineRule="auto"/>
        <w:rPr>
          <w:sz w:val="20"/>
          <w:szCs w:val="20"/>
          <w:color w:val="auto"/>
        </w:rPr>
      </w:pPr>
      <w:r>
        <w:rPr>
          <w:rFonts w:ascii="Arial" w:cs="Arial" w:eastAsia="Arial" w:hAnsi="Arial"/>
          <w:sz w:val="20"/>
          <w:szCs w:val="20"/>
          <w:color w:val="auto"/>
        </w:rPr>
        <w:t>The bylaws of the Company may be amended or repealed, or new bylaws may be adopted, by the affirmative vote of a majority of the voting power or by the affirmative vote of a majority of the whole board of directors.</w:t>
      </w: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 Indemnification</w:t>
      </w:r>
    </w:p>
    <w:p>
      <w:pPr>
        <w:spacing w:after="0" w:line="211"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The Company’s directors shall not be personally liable to the Company or its stockholders for monetary damages for breach of fiduciary duty as a director, except for liability (i) for any breach of the director’s duty of loyalty to the Company or its stockholders, (ii) for acts or omissions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75" w:name="page76"/>
    <w:bookmarkEnd w:id="75"/>
    <w:p>
      <w:pPr>
        <w:spacing w:after="0"/>
        <w:rPr>
          <w:sz w:val="20"/>
          <w:szCs w:val="20"/>
          <w:color w:val="auto"/>
        </w:rPr>
      </w:pPr>
      <w:r>
        <w:rPr>
          <w:rFonts w:ascii="Arial" w:cs="Arial" w:eastAsia="Arial" w:hAnsi="Arial"/>
          <w:sz w:val="20"/>
          <w:szCs w:val="20"/>
          <w:color w:val="auto"/>
        </w:rPr>
        <w:t>not in good faith or which involve intentional misconduct or a knowing violation of law, (iii) under Section 174 of the DGCL, or</w:t>
      </w:r>
    </w:p>
    <w:p>
      <w:pPr>
        <w:spacing w:after="0" w:line="31" w:lineRule="exact"/>
        <w:rPr>
          <w:sz w:val="20"/>
          <w:szCs w:val="20"/>
          <w:color w:val="auto"/>
        </w:rPr>
      </w:pPr>
    </w:p>
    <w:p>
      <w:pPr>
        <w:jc w:val="both"/>
        <w:ind w:firstLine="8"/>
        <w:spacing w:after="0" w:line="234" w:lineRule="auto"/>
        <w:tabs>
          <w:tab w:leader="none" w:pos="375" w:val="left"/>
        </w:tabs>
        <w:numPr>
          <w:ilvl w:val="0"/>
          <w:numId w:val="38"/>
        </w:numPr>
        <w:rPr>
          <w:rFonts w:ascii="Arial" w:cs="Arial" w:eastAsia="Arial" w:hAnsi="Arial"/>
          <w:sz w:val="22"/>
          <w:szCs w:val="22"/>
          <w:color w:val="auto"/>
        </w:rPr>
      </w:pPr>
      <w:r>
        <w:rPr>
          <w:rFonts w:ascii="Arial" w:cs="Arial" w:eastAsia="Arial" w:hAnsi="Arial"/>
          <w:sz w:val="22"/>
          <w:szCs w:val="22"/>
          <w:color w:val="auto"/>
        </w:rPr>
        <w:t>for any transaction from which the director derived an improper personal benefit. If the DGCL is amended to permit further elimination or limitation of the personal liability of the directors, then the liability of the Company’s directors shall be eliminated or limited to the fullest extent permitted by the DGCL, as so amended.</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22"/>
          <w:szCs w:val="22"/>
          <w:b w:val="1"/>
          <w:bCs w:val="1"/>
          <w:color w:val="auto"/>
        </w:rPr>
        <w:t>Exhibit 10.23</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YELLOW CORPORATION</w:t>
      </w:r>
    </w:p>
    <w:p>
      <w:pPr>
        <w:jc w:val="center"/>
        <w:spacing w:after="0"/>
        <w:rPr>
          <w:sz w:val="20"/>
          <w:szCs w:val="20"/>
          <w:color w:val="auto"/>
        </w:rPr>
      </w:pPr>
      <w:r>
        <w:rPr>
          <w:rFonts w:ascii="Arial" w:cs="Arial" w:eastAsia="Arial" w:hAnsi="Arial"/>
          <w:sz w:val="22"/>
          <w:szCs w:val="22"/>
          <w:b w:val="1"/>
          <w:bCs w:val="1"/>
          <w:color w:val="auto"/>
        </w:rPr>
        <w:t>PERFORMANCE STOCK UNIT AGREEMENT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spacing w:after="0"/>
              <w:rPr>
                <w:sz w:val="20"/>
                <w:szCs w:val="20"/>
                <w:color w:val="auto"/>
              </w:rPr>
            </w:pPr>
            <w:r>
              <w:rPr>
                <w:rFonts w:ascii="Arial" w:cs="Arial" w:eastAsia="Arial" w:hAnsi="Arial"/>
                <w:sz w:val="22"/>
                <w:szCs w:val="22"/>
                <w:color w:val="auto"/>
              </w:rPr>
              <w:t>Participant:</w:t>
            </w:r>
          </w:p>
        </w:tc>
        <w:tc>
          <w:tcPr>
            <w:tcW w:w="220" w:type="dxa"/>
            <w:vAlign w:val="bottom"/>
          </w:tcPr>
          <w:p>
            <w:pPr>
              <w:jc w:val="right"/>
              <w:spacing w:after="0"/>
              <w:rPr>
                <w:sz w:val="20"/>
                <w:szCs w:val="20"/>
                <w:color w:val="auto"/>
              </w:rPr>
            </w:pPr>
            <w:r>
              <w:rPr>
                <w:rFonts w:ascii="Arial" w:cs="Arial" w:eastAsia="Arial" w:hAnsi="Arial"/>
                <w:sz w:val="22"/>
                <w:szCs w:val="22"/>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2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438"/>
        </w:trPr>
        <w:tc>
          <w:tcPr>
            <w:tcW w:w="1160" w:type="dxa"/>
            <w:vAlign w:val="bottom"/>
          </w:tcPr>
          <w:p>
            <w:pPr>
              <w:spacing w:after="0"/>
              <w:rPr>
                <w:sz w:val="20"/>
                <w:szCs w:val="20"/>
                <w:color w:val="auto"/>
              </w:rPr>
            </w:pPr>
            <w:r>
              <w:rPr>
                <w:rFonts w:ascii="Arial" w:cs="Arial" w:eastAsia="Arial" w:hAnsi="Arial"/>
                <w:sz w:val="22"/>
                <w:szCs w:val="22"/>
                <w:color w:val="auto"/>
              </w:rPr>
              <w:t>Grant Date:</w:t>
            </w:r>
          </w:p>
        </w:tc>
        <w:tc>
          <w:tcPr>
            <w:tcW w:w="220" w:type="dxa"/>
            <w:vAlign w:val="bottom"/>
          </w:tcPr>
          <w:p>
            <w:pPr>
              <w:jc w:val="right"/>
              <w:spacing w:after="0"/>
              <w:rPr>
                <w:sz w:val="20"/>
                <w:szCs w:val="20"/>
                <w:color w:val="auto"/>
              </w:rPr>
            </w:pPr>
            <w:r>
              <w:rPr>
                <w:rFonts w:ascii="Arial" w:cs="Arial" w:eastAsia="Arial" w:hAnsi="Arial"/>
                <w:sz w:val="22"/>
                <w:szCs w:val="22"/>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2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438"/>
        </w:trPr>
        <w:tc>
          <w:tcPr>
            <w:tcW w:w="5840" w:type="dxa"/>
            <w:vAlign w:val="bottom"/>
            <w:gridSpan w:val="7"/>
          </w:tcPr>
          <w:p>
            <w:pPr>
              <w:spacing w:after="0"/>
              <w:rPr>
                <w:sz w:val="20"/>
                <w:szCs w:val="20"/>
                <w:color w:val="auto"/>
              </w:rPr>
            </w:pPr>
            <w:r>
              <w:rPr>
                <w:rFonts w:ascii="Arial" w:cs="Arial" w:eastAsia="Arial" w:hAnsi="Arial"/>
                <w:sz w:val="22"/>
                <w:szCs w:val="22"/>
                <w:color w:val="auto"/>
                <w:w w:val="92"/>
              </w:rPr>
              <w:t>Target Number of Performance Stock Units (the “Target PSUs”):</w:t>
            </w:r>
          </w:p>
        </w:tc>
        <w:tc>
          <w:tcPr>
            <w:tcW w:w="460" w:type="dxa"/>
            <w:vAlign w:val="bottom"/>
            <w:gridSpan w:val="2"/>
          </w:tcPr>
          <w:p>
            <w:pPr>
              <w:jc w:val="right"/>
              <w:ind w:right="180"/>
              <w:spacing w:after="0"/>
              <w:rPr>
                <w:sz w:val="20"/>
                <w:szCs w:val="20"/>
                <w:color w:val="auto"/>
              </w:rPr>
            </w:pPr>
            <w:r>
              <w:rPr>
                <w:rFonts w:ascii="Arial" w:cs="Arial" w:eastAsia="Arial" w:hAnsi="Arial"/>
                <w:sz w:val="22"/>
                <w:szCs w:val="22"/>
                <w:color w:val="auto"/>
              </w:rPr>
              <w:t>[</w:t>
            </w:r>
          </w:p>
        </w:tc>
        <w:tc>
          <w:tcPr>
            <w:tcW w:w="26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438"/>
        </w:trPr>
        <w:tc>
          <w:tcPr>
            <w:tcW w:w="4320" w:type="dxa"/>
            <w:vAlign w:val="bottom"/>
            <w:gridSpan w:val="5"/>
          </w:tcPr>
          <w:p>
            <w:pPr>
              <w:spacing w:after="0"/>
              <w:rPr>
                <w:sz w:val="20"/>
                <w:szCs w:val="20"/>
                <w:color w:val="auto"/>
              </w:rPr>
            </w:pPr>
            <w:r>
              <w:rPr>
                <w:rFonts w:ascii="Arial" w:cs="Arial" w:eastAsia="Arial" w:hAnsi="Arial"/>
                <w:sz w:val="22"/>
                <w:szCs w:val="22"/>
                <w:color w:val="auto"/>
                <w:w w:val="96"/>
              </w:rPr>
              <w:t>Potential Range of Target Achievement: 0 to [</w:t>
            </w:r>
          </w:p>
        </w:tc>
        <w:tc>
          <w:tcPr>
            <w:tcW w:w="1060" w:type="dxa"/>
            <w:vAlign w:val="bottom"/>
            <w:tcBorders>
              <w:top w:val="single" w:sz="8" w:color="auto"/>
            </w:tcBorders>
          </w:tcPr>
          <w:p>
            <w:pPr>
              <w:jc w:val="right"/>
              <w:ind w:right="872"/>
              <w:spacing w:after="0"/>
              <w:rPr>
                <w:sz w:val="20"/>
                <w:szCs w:val="20"/>
                <w:color w:val="auto"/>
              </w:rPr>
            </w:pPr>
            <w:r>
              <w:rPr>
                <w:rFonts w:ascii="Arial" w:cs="Arial" w:eastAsia="Arial" w:hAnsi="Arial"/>
                <w:sz w:val="22"/>
                <w:szCs w:val="22"/>
                <w:color w:val="auto"/>
                <w:w w:val="97"/>
              </w:rPr>
              <w:t>]</w:t>
            </w: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r>
      <w:tr>
        <w:trPr>
          <w:trHeight w:val="20"/>
        </w:trPr>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20"/>
          <w:szCs w:val="20"/>
          <w:color w:val="auto"/>
        </w:rPr>
        <w:t>Maximum Number of Shares of Common Stock that may be issued pursuant to this Agreement (the “</w:t>
      </w:r>
      <w:r>
        <w:rPr>
          <w:rFonts w:ascii="Arial" w:cs="Arial" w:eastAsia="Arial" w:hAnsi="Arial"/>
          <w:sz w:val="20"/>
          <w:szCs w:val="20"/>
          <w:u w:val="single" w:color="auto"/>
          <w:color w:val="auto"/>
        </w:rPr>
        <w:t>Maximum Shares</w:t>
      </w:r>
      <w:r>
        <w:rPr>
          <w:rFonts w:ascii="Arial" w:cs="Arial" w:eastAsia="Arial" w:hAnsi="Arial"/>
          <w:sz w:val="20"/>
          <w:szCs w:val="20"/>
          <w:color w:val="auto"/>
        </w:rPr>
        <w:t>”):</w:t>
      </w:r>
    </w:p>
    <w:p>
      <w:pPr>
        <w:spacing w:after="0" w:line="31" w:lineRule="exact"/>
        <w:rPr>
          <w:sz w:val="20"/>
          <w:szCs w:val="20"/>
          <w:color w:val="auto"/>
        </w:rPr>
      </w:pPr>
    </w:p>
    <w:p>
      <w:pPr>
        <w:spacing w:after="0"/>
        <w:rPr>
          <w:sz w:val="20"/>
          <w:szCs w:val="20"/>
          <w:color w:val="auto"/>
        </w:rPr>
      </w:pPr>
      <w:r>
        <w:rPr>
          <w:rFonts w:ascii="Arial" w:cs="Arial" w:eastAsia="Arial" w:hAnsi="Arial"/>
          <w:sz w:val="22"/>
          <w:szCs w:val="22"/>
          <w:color w:val="auto"/>
        </w:rPr>
        <w:t>[__________]</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 * * *</w:t>
      </w:r>
    </w:p>
    <w:p>
      <w:pPr>
        <w:spacing w:after="0" w:line="205" w:lineRule="exact"/>
        <w:rPr>
          <w:sz w:val="20"/>
          <w:szCs w:val="20"/>
          <w:color w:val="auto"/>
        </w:rPr>
      </w:pPr>
    </w:p>
    <w:p>
      <w:pPr>
        <w:jc w:val="both"/>
        <w:ind w:firstLine="749"/>
        <w:spacing w:after="0" w:line="268" w:lineRule="auto"/>
        <w:rPr>
          <w:sz w:val="20"/>
          <w:szCs w:val="20"/>
          <w:color w:val="auto"/>
        </w:rPr>
      </w:pPr>
      <w:r>
        <w:rPr>
          <w:rFonts w:ascii="Arial" w:cs="Arial" w:eastAsia="Arial" w:hAnsi="Arial"/>
          <w:sz w:val="20"/>
          <w:szCs w:val="20"/>
          <w:color w:val="auto"/>
        </w:rPr>
        <w:t>THIS PERFORMANCE STOCK UNIT AWARD AGREEMENT (this “</w:t>
      </w:r>
      <w:r>
        <w:rPr>
          <w:rFonts w:ascii="Arial" w:cs="Arial" w:eastAsia="Arial" w:hAnsi="Arial"/>
          <w:sz w:val="20"/>
          <w:szCs w:val="20"/>
          <w:u w:val="single" w:color="auto"/>
          <w:color w:val="auto"/>
        </w:rPr>
        <w:t>Agreement</w:t>
      </w:r>
      <w:r>
        <w:rPr>
          <w:rFonts w:ascii="Arial" w:cs="Arial" w:eastAsia="Arial" w:hAnsi="Arial"/>
          <w:sz w:val="20"/>
          <w:szCs w:val="20"/>
          <w:color w:val="auto"/>
        </w:rPr>
        <w:t>”), dated as of the Grant Date specified above, is entered into by and between Yellow Corporation, a corporation organized in the State of Delaware (the “</w:t>
      </w:r>
      <w:r>
        <w:rPr>
          <w:rFonts w:ascii="Arial" w:cs="Arial" w:eastAsia="Arial" w:hAnsi="Arial"/>
          <w:sz w:val="20"/>
          <w:szCs w:val="20"/>
          <w:u w:val="single" w:color="auto"/>
          <w:color w:val="auto"/>
        </w:rPr>
        <w:t>Company</w:t>
      </w:r>
      <w:r>
        <w:rPr>
          <w:rFonts w:ascii="Arial" w:cs="Arial" w:eastAsia="Arial" w:hAnsi="Arial"/>
          <w:sz w:val="20"/>
          <w:szCs w:val="20"/>
          <w:color w:val="auto"/>
        </w:rPr>
        <w:t>”), and the Participant specified above, pursuant to the YRC Worldwide Inc. 2019 Incentive and Equity Award Plan, as in effect and as amended from time to time (the “</w:t>
      </w:r>
      <w:r>
        <w:rPr>
          <w:rFonts w:ascii="Arial" w:cs="Arial" w:eastAsia="Arial" w:hAnsi="Arial"/>
          <w:sz w:val="20"/>
          <w:szCs w:val="20"/>
          <w:u w:val="single" w:color="auto"/>
          <w:color w:val="auto"/>
        </w:rPr>
        <w:t>Plan</w:t>
      </w:r>
      <w:r>
        <w:rPr>
          <w:rFonts w:ascii="Arial" w:cs="Arial" w:eastAsia="Arial" w:hAnsi="Arial"/>
          <w:sz w:val="20"/>
          <w:szCs w:val="20"/>
          <w:color w:val="auto"/>
        </w:rPr>
        <w:t>”), which is administered by the Committee.</w:t>
      </w:r>
    </w:p>
    <w:p>
      <w:pPr>
        <w:spacing w:after="0" w:line="159" w:lineRule="exact"/>
        <w:rPr>
          <w:sz w:val="20"/>
          <w:szCs w:val="20"/>
          <w:color w:val="auto"/>
        </w:rPr>
      </w:pPr>
    </w:p>
    <w:p>
      <w:pPr>
        <w:jc w:val="both"/>
        <w:ind w:firstLine="749"/>
        <w:spacing w:after="0" w:line="299" w:lineRule="auto"/>
        <w:rPr>
          <w:sz w:val="20"/>
          <w:szCs w:val="20"/>
          <w:color w:val="auto"/>
        </w:rPr>
      </w:pPr>
      <w:r>
        <w:rPr>
          <w:rFonts w:ascii="Arial" w:cs="Arial" w:eastAsia="Arial" w:hAnsi="Arial"/>
          <w:sz w:val="20"/>
          <w:szCs w:val="20"/>
          <w:color w:val="auto"/>
        </w:rPr>
        <w:t>WHEREAS, it has been determined under the Plan that it would be in the best interests of the Company to grant the Performance Stock Units (“</w:t>
      </w:r>
      <w:r>
        <w:rPr>
          <w:rFonts w:ascii="Arial" w:cs="Arial" w:eastAsia="Arial" w:hAnsi="Arial"/>
          <w:sz w:val="20"/>
          <w:szCs w:val="20"/>
          <w:u w:val="single" w:color="auto"/>
          <w:color w:val="auto"/>
        </w:rPr>
        <w:t>PSUs</w:t>
      </w:r>
      <w:r>
        <w:rPr>
          <w:rFonts w:ascii="Arial" w:cs="Arial" w:eastAsia="Arial" w:hAnsi="Arial"/>
          <w:sz w:val="20"/>
          <w:szCs w:val="20"/>
          <w:color w:val="auto"/>
        </w:rPr>
        <w:t>”) provided herein to the Participant, which constitute Performance Awards under the Plan.</w:t>
      </w:r>
    </w:p>
    <w:p>
      <w:pPr>
        <w:spacing w:after="0" w:line="128"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NOW, THEREFORE, in consideration of the mutual covenants and promises hereinafter set forth and for other good and valuable consideration, the parties hereto hereby mutually covenant and agree as follows:</w:t>
      </w:r>
    </w:p>
    <w:p>
      <w:pPr>
        <w:spacing w:after="0" w:line="174" w:lineRule="exact"/>
        <w:rPr>
          <w:sz w:val="20"/>
          <w:szCs w:val="20"/>
          <w:color w:val="auto"/>
        </w:rPr>
      </w:pPr>
    </w:p>
    <w:p>
      <w:pPr>
        <w:jc w:val="both"/>
        <w:ind w:firstLine="757"/>
        <w:spacing w:after="0" w:line="259" w:lineRule="auto"/>
        <w:tabs>
          <w:tab w:leader="none" w:pos="1498" w:val="left"/>
        </w:tabs>
        <w:numPr>
          <w:ilvl w:val="0"/>
          <w:numId w:val="39"/>
        </w:numPr>
        <w:rPr>
          <w:rFonts w:ascii="Arial" w:cs="Arial" w:eastAsia="Arial" w:hAnsi="Arial"/>
          <w:sz w:val="20"/>
          <w:szCs w:val="20"/>
          <w:color w:val="auto"/>
        </w:rPr>
      </w:pPr>
      <w:r>
        <w:rPr>
          <w:rFonts w:ascii="Arial" w:cs="Arial" w:eastAsia="Arial" w:hAnsi="Arial"/>
          <w:sz w:val="20"/>
          <w:szCs w:val="20"/>
          <w:u w:val="single" w:color="auto"/>
          <w:color w:val="auto"/>
        </w:rPr>
        <w:t>Incorporation By Reference; Plan Document Receipt</w:t>
      </w:r>
      <w:r>
        <w:rPr>
          <w:rFonts w:ascii="Arial" w:cs="Arial" w:eastAsia="Arial" w:hAnsi="Arial"/>
          <w:sz w:val="20"/>
          <w:szCs w:val="20"/>
          <w:color w:val="auto"/>
        </w:rPr>
        <w:t>. This Agreement is subject in all respects to the terms and provisions of the Plan (including, without limitation, any amendments thereto adopted at any time and from time to time unless such amendments are expressly intended not to apply to the Performance Stock Unit Award provided hereunder), all of which terms and provisions are made a part of and incorporated in this Agreement as if they were each expressly set forth herein. Any capitalized term not defined in this Agreement shall have the same meaning as is ascribed thereto in the Plan. The Participant hereby acknowledges receipt of a true copy of the Plan and that the Participant has read the Plan carefully and fully understands its content. In the event of any conflict between the terms of this Agreement and the terms of the Plan, the terms of this Agreement shall control.</w:t>
      </w:r>
    </w:p>
    <w:p>
      <w:pPr>
        <w:spacing w:after="0" w:line="171" w:lineRule="exact"/>
        <w:rPr>
          <w:rFonts w:ascii="Arial" w:cs="Arial" w:eastAsia="Arial" w:hAnsi="Arial"/>
          <w:sz w:val="20"/>
          <w:szCs w:val="20"/>
          <w:color w:val="auto"/>
        </w:rPr>
      </w:pPr>
    </w:p>
    <w:p>
      <w:pPr>
        <w:jc w:val="both"/>
        <w:ind w:firstLine="757"/>
        <w:spacing w:after="0" w:line="262" w:lineRule="auto"/>
        <w:tabs>
          <w:tab w:leader="none" w:pos="1498" w:val="left"/>
        </w:tabs>
        <w:numPr>
          <w:ilvl w:val="0"/>
          <w:numId w:val="39"/>
        </w:numPr>
        <w:rPr>
          <w:rFonts w:ascii="Arial" w:cs="Arial" w:eastAsia="Arial" w:hAnsi="Arial"/>
          <w:sz w:val="20"/>
          <w:szCs w:val="20"/>
          <w:color w:val="auto"/>
        </w:rPr>
      </w:pPr>
      <w:r>
        <w:rPr>
          <w:rFonts w:ascii="Arial" w:cs="Arial" w:eastAsia="Arial" w:hAnsi="Arial"/>
          <w:sz w:val="20"/>
          <w:szCs w:val="20"/>
          <w:u w:val="single" w:color="auto"/>
          <w:color w:val="auto"/>
        </w:rPr>
        <w:t>Grant of Performance Stock Unit Award</w:t>
      </w:r>
      <w:r>
        <w:rPr>
          <w:rFonts w:ascii="Arial" w:cs="Arial" w:eastAsia="Arial" w:hAnsi="Arial"/>
          <w:sz w:val="20"/>
          <w:szCs w:val="20"/>
          <w:color w:val="auto"/>
        </w:rPr>
        <w:t xml:space="preserve">. The Company hereby grants to the Participant, as of the Grant Date specified above, the number of Target PSUs specified above, with the actual number of shares of Common Stock to be earned pursuant to this Award contingent upon satisfaction of the vesting conditions described in </w:t>
      </w:r>
      <w:r>
        <w:rPr>
          <w:rFonts w:ascii="Arial" w:cs="Arial" w:eastAsia="Arial" w:hAnsi="Arial"/>
          <w:sz w:val="20"/>
          <w:szCs w:val="20"/>
          <w:u w:val="single" w:color="auto"/>
          <w:color w:val="auto"/>
        </w:rPr>
        <w:t>Section 3</w:t>
      </w:r>
      <w:r>
        <w:rPr>
          <w:rFonts w:ascii="Arial" w:cs="Arial" w:eastAsia="Arial" w:hAnsi="Arial"/>
          <w:sz w:val="20"/>
          <w:szCs w:val="20"/>
          <w:color w:val="auto"/>
        </w:rPr>
        <w:t xml:space="preserve"> hereof, subject to </w:t>
      </w:r>
      <w:r>
        <w:rPr>
          <w:rFonts w:ascii="Arial" w:cs="Arial" w:eastAsia="Arial" w:hAnsi="Arial"/>
          <w:sz w:val="20"/>
          <w:szCs w:val="20"/>
          <w:u w:val="single" w:color="auto"/>
          <w:color w:val="auto"/>
        </w:rPr>
        <w:t>Section 4</w:t>
      </w:r>
      <w:r>
        <w:rPr>
          <w:rFonts w:ascii="Arial" w:cs="Arial" w:eastAsia="Arial" w:hAnsi="Arial"/>
          <w:sz w:val="20"/>
          <w:szCs w:val="20"/>
          <w:color w:val="auto"/>
        </w:rPr>
        <w:t>, which may not exceed the Maximum Shares. Except as otherwise provided by the Plan, the Participant agrees and understands that nothing contained in this Agreement provides, or is intended to provide, the Participant with any protection against potential future dilution of the Participant’s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7" w:name="page78"/>
    <w:bookmarkEnd w:id="77"/>
    <w:p>
      <w:pPr>
        <w:jc w:val="both"/>
        <w:spacing w:after="0"/>
        <w:rPr>
          <w:sz w:val="20"/>
          <w:szCs w:val="20"/>
          <w:color w:val="auto"/>
        </w:rPr>
      </w:pPr>
      <w:r>
        <w:rPr>
          <w:rFonts w:ascii="Arial" w:cs="Arial" w:eastAsia="Arial" w:hAnsi="Arial"/>
          <w:sz w:val="22"/>
          <w:szCs w:val="22"/>
          <w:color w:val="auto"/>
        </w:rPr>
        <w:t>interest in the Company for any reason, and no adjustments shall be made for dividends in cash or other property, distributions or other rights in respect of the shares of Common Stock underlying the PSUs, except as otherwise specifically provided for in the Plan or this Agreement.</w:t>
      </w:r>
    </w:p>
    <w:p>
      <w:pPr>
        <w:spacing w:after="0" w:line="186" w:lineRule="exact"/>
        <w:rPr>
          <w:sz w:val="20"/>
          <w:szCs w:val="20"/>
          <w:color w:val="auto"/>
        </w:rPr>
      </w:pPr>
    </w:p>
    <w:p>
      <w:pPr>
        <w:jc w:val="both"/>
        <w:ind w:firstLine="757"/>
        <w:spacing w:after="0" w:line="273" w:lineRule="auto"/>
        <w:tabs>
          <w:tab w:leader="none" w:pos="1498" w:val="left"/>
        </w:tabs>
        <w:numPr>
          <w:ilvl w:val="0"/>
          <w:numId w:val="40"/>
        </w:numPr>
        <w:rPr>
          <w:rFonts w:ascii="Arial" w:cs="Arial" w:eastAsia="Arial" w:hAnsi="Arial"/>
          <w:sz w:val="19"/>
          <w:szCs w:val="19"/>
          <w:color w:val="auto"/>
        </w:rPr>
      </w:pPr>
      <w:r>
        <w:rPr>
          <w:rFonts w:ascii="Arial" w:cs="Arial" w:eastAsia="Arial" w:hAnsi="Arial"/>
          <w:sz w:val="19"/>
          <w:szCs w:val="19"/>
          <w:u w:val="single" w:color="auto"/>
          <w:color w:val="auto"/>
        </w:rPr>
        <w:t>Vesting</w:t>
      </w:r>
      <w:r>
        <w:rPr>
          <w:rFonts w:ascii="Arial" w:cs="Arial" w:eastAsia="Arial" w:hAnsi="Arial"/>
          <w:sz w:val="19"/>
          <w:szCs w:val="19"/>
          <w:color w:val="auto"/>
        </w:rPr>
        <w:t>. The PSUs shall vest, if at all, following the close of the [ ] year period immediately following the Grant Date (the “</w:t>
      </w:r>
      <w:r>
        <w:rPr>
          <w:rFonts w:ascii="Arial" w:cs="Arial" w:eastAsia="Arial" w:hAnsi="Arial"/>
          <w:sz w:val="19"/>
          <w:szCs w:val="19"/>
          <w:u w:val="single" w:color="auto"/>
          <w:color w:val="auto"/>
        </w:rPr>
        <w:t>Performance Period</w:t>
      </w:r>
      <w:r>
        <w:rPr>
          <w:rFonts w:ascii="Arial" w:cs="Arial" w:eastAsia="Arial" w:hAnsi="Arial"/>
          <w:sz w:val="19"/>
          <w:szCs w:val="19"/>
          <w:color w:val="auto"/>
        </w:rPr>
        <w:t xml:space="preserve">”) based upon the Company’s achievement of the performance goals for the Performance Period as set forth in </w:t>
      </w:r>
      <w:r>
        <w:rPr>
          <w:rFonts w:ascii="Arial" w:cs="Arial" w:eastAsia="Arial" w:hAnsi="Arial"/>
          <w:sz w:val="19"/>
          <w:szCs w:val="19"/>
          <w:u w:val="single" w:color="auto"/>
          <w:color w:val="auto"/>
        </w:rPr>
        <w:t>Appendix A</w:t>
      </w:r>
      <w:r>
        <w:rPr>
          <w:rFonts w:ascii="Arial" w:cs="Arial" w:eastAsia="Arial" w:hAnsi="Arial"/>
          <w:sz w:val="19"/>
          <w:szCs w:val="19"/>
          <w:color w:val="auto"/>
        </w:rPr>
        <w:t xml:space="preserve"> attached hereto (collectively, the “</w:t>
      </w:r>
      <w:r>
        <w:rPr>
          <w:rFonts w:ascii="Arial" w:cs="Arial" w:eastAsia="Arial" w:hAnsi="Arial"/>
          <w:sz w:val="19"/>
          <w:szCs w:val="19"/>
          <w:u w:val="single" w:color="auto"/>
          <w:color w:val="auto"/>
        </w:rPr>
        <w:t>Performance Conditions</w:t>
      </w:r>
      <w:r>
        <w:rPr>
          <w:rFonts w:ascii="Arial" w:cs="Arial" w:eastAsia="Arial" w:hAnsi="Arial"/>
          <w:sz w:val="19"/>
          <w:szCs w:val="19"/>
          <w:color w:val="auto"/>
        </w:rPr>
        <w:t xml:space="preserve">”), subject to the Participant’s continuous employment or service with the Company or a Subsidiary through end of the Performance Period pursuant to </w:t>
      </w:r>
      <w:r>
        <w:rPr>
          <w:rFonts w:ascii="Arial" w:cs="Arial" w:eastAsia="Arial" w:hAnsi="Arial"/>
          <w:sz w:val="19"/>
          <w:szCs w:val="19"/>
          <w:u w:val="single" w:color="auto"/>
          <w:color w:val="auto"/>
        </w:rPr>
        <w:t>Section 4</w:t>
      </w:r>
      <w:r>
        <w:rPr>
          <w:rFonts w:ascii="Arial" w:cs="Arial" w:eastAsia="Arial" w:hAnsi="Arial"/>
          <w:sz w:val="19"/>
          <w:szCs w:val="19"/>
          <w:color w:val="auto"/>
        </w:rPr>
        <w:t xml:space="preserve"> hereto. The range of PSUs which may vest shall depend on the extent to which the Performance Conditions are satisfied. The number of PSUs that will vest during the Performance Period shall be determined following the Committee’s certification of achievement of the Performance Conditions, which shall occur within sixty (60) calendar days following the end of the Performance Period (such date, the “</w:t>
      </w:r>
      <w:r>
        <w:rPr>
          <w:rFonts w:ascii="Arial" w:cs="Arial" w:eastAsia="Arial" w:hAnsi="Arial"/>
          <w:sz w:val="19"/>
          <w:szCs w:val="19"/>
          <w:u w:val="single" w:color="auto"/>
          <w:color w:val="auto"/>
        </w:rPr>
        <w:t>Certification Date</w:t>
      </w:r>
      <w:r>
        <w:rPr>
          <w:rFonts w:ascii="Arial" w:cs="Arial" w:eastAsia="Arial" w:hAnsi="Arial"/>
          <w:sz w:val="19"/>
          <w:szCs w:val="19"/>
          <w:color w:val="auto"/>
        </w:rPr>
        <w:t xml:space="preserve">”), and the vested PSUs, if any, shall be settled in accordance with </w:t>
      </w:r>
      <w:r>
        <w:rPr>
          <w:rFonts w:ascii="Arial" w:cs="Arial" w:eastAsia="Arial" w:hAnsi="Arial"/>
          <w:sz w:val="19"/>
          <w:szCs w:val="19"/>
          <w:u w:val="single" w:color="auto"/>
          <w:color w:val="auto"/>
        </w:rPr>
        <w:t>Section 6</w:t>
      </w:r>
      <w:r>
        <w:rPr>
          <w:rFonts w:ascii="Arial" w:cs="Arial" w:eastAsia="Arial" w:hAnsi="Arial"/>
          <w:sz w:val="19"/>
          <w:szCs w:val="19"/>
          <w:color w:val="auto"/>
        </w:rPr>
        <w:t xml:space="preserve"> hereto. For the avoidance of doubt, if the level of achievement of the Performance Conditions results in zero percent (0%) of the Target PSUs to be deemed vested, all PSUs awarded under this Agreement shall be forfeited and cancelled for no consideration therefor.</w:t>
      </w:r>
    </w:p>
    <w:p>
      <w:pPr>
        <w:spacing w:after="0" w:line="157" w:lineRule="exact"/>
        <w:rPr>
          <w:rFonts w:ascii="Arial" w:cs="Arial" w:eastAsia="Arial" w:hAnsi="Arial"/>
          <w:sz w:val="19"/>
          <w:szCs w:val="19"/>
          <w:color w:val="auto"/>
        </w:rPr>
      </w:pPr>
    </w:p>
    <w:p>
      <w:pPr>
        <w:ind w:left="1500" w:hanging="743"/>
        <w:spacing w:after="0"/>
        <w:tabs>
          <w:tab w:leader="none" w:pos="1500"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Separation from Service; Forfeiture</w:t>
      </w:r>
      <w:r>
        <w:rPr>
          <w:rFonts w:ascii="Arial" w:cs="Arial" w:eastAsia="Arial" w:hAnsi="Arial"/>
          <w:sz w:val="22"/>
          <w:szCs w:val="22"/>
          <w:color w:val="auto"/>
        </w:rPr>
        <w:t>.</w:t>
      </w:r>
    </w:p>
    <w:p>
      <w:pPr>
        <w:spacing w:after="0" w:line="205" w:lineRule="exact"/>
        <w:rPr>
          <w:rFonts w:ascii="Arial" w:cs="Arial" w:eastAsia="Arial" w:hAnsi="Arial"/>
          <w:sz w:val="22"/>
          <w:szCs w:val="22"/>
          <w:color w:val="auto"/>
        </w:rPr>
      </w:pPr>
    </w:p>
    <w:p>
      <w:pPr>
        <w:jc w:val="both"/>
        <w:ind w:left="760" w:firstLine="745"/>
        <w:spacing w:after="0" w:line="276" w:lineRule="auto"/>
        <w:tabs>
          <w:tab w:leader="none" w:pos="2258" w:val="left"/>
        </w:tabs>
        <w:numPr>
          <w:ilvl w:val="1"/>
          <w:numId w:val="40"/>
        </w:numPr>
        <w:rPr>
          <w:rFonts w:ascii="Arial" w:cs="Arial" w:eastAsia="Arial" w:hAnsi="Arial"/>
          <w:sz w:val="20"/>
          <w:szCs w:val="20"/>
          <w:color w:val="010000"/>
        </w:rPr>
      </w:pPr>
      <w:r>
        <w:rPr>
          <w:rFonts w:ascii="Arial" w:cs="Arial" w:eastAsia="Arial" w:hAnsi="Arial"/>
          <w:sz w:val="20"/>
          <w:szCs w:val="20"/>
          <w:color w:val="auto"/>
        </w:rPr>
        <w:t xml:space="preserve">Subject to </w:t>
      </w:r>
      <w:r>
        <w:rPr>
          <w:rFonts w:ascii="Arial" w:cs="Arial" w:eastAsia="Arial" w:hAnsi="Arial"/>
          <w:sz w:val="20"/>
          <w:szCs w:val="20"/>
          <w:u w:val="single" w:color="auto"/>
          <w:color w:val="auto"/>
        </w:rPr>
        <w:t>Section 4(b)</w:t>
      </w:r>
      <w:r>
        <w:rPr>
          <w:rFonts w:ascii="Arial" w:cs="Arial" w:eastAsia="Arial" w:hAnsi="Arial"/>
          <w:sz w:val="20"/>
          <w:szCs w:val="20"/>
          <w:color w:val="auto"/>
        </w:rPr>
        <w:t xml:space="preserve"> below, in the event of the Participant’s Separation from Service prior to the end of the Performance Period, the PSUs shall be immediately forfeited and cancelled on the date of Separation from Service without consideration therefor, and the Participant shall have no further rights to such PSUs hereunder.</w:t>
      </w:r>
    </w:p>
    <w:p>
      <w:pPr>
        <w:spacing w:after="0" w:line="150" w:lineRule="exact"/>
        <w:rPr>
          <w:rFonts w:ascii="Arial" w:cs="Arial" w:eastAsia="Arial" w:hAnsi="Arial"/>
          <w:sz w:val="20"/>
          <w:szCs w:val="20"/>
          <w:color w:val="010000"/>
        </w:rPr>
      </w:pPr>
    </w:p>
    <w:p>
      <w:pPr>
        <w:ind w:left="2260" w:hanging="755"/>
        <w:spacing w:after="0"/>
        <w:tabs>
          <w:tab w:leader="none" w:pos="2260" w:val="left"/>
        </w:tabs>
        <w:numPr>
          <w:ilvl w:val="1"/>
          <w:numId w:val="40"/>
        </w:numPr>
        <w:rPr>
          <w:rFonts w:ascii="Arial" w:cs="Arial" w:eastAsia="Arial" w:hAnsi="Arial"/>
          <w:sz w:val="22"/>
          <w:szCs w:val="22"/>
          <w:color w:val="010000"/>
        </w:rPr>
      </w:pPr>
      <w:r>
        <w:rPr>
          <w:rFonts w:ascii="Arial" w:cs="Arial" w:eastAsia="Arial" w:hAnsi="Arial"/>
          <w:sz w:val="22"/>
          <w:szCs w:val="22"/>
          <w:color w:val="auto"/>
        </w:rPr>
        <w:t>Notwithstanding the foregoing,</w:t>
      </w:r>
    </w:p>
    <w:p>
      <w:pPr>
        <w:spacing w:after="0" w:line="205" w:lineRule="exact"/>
        <w:rPr>
          <w:rFonts w:ascii="Arial" w:cs="Arial" w:eastAsia="Arial" w:hAnsi="Arial"/>
          <w:sz w:val="22"/>
          <w:szCs w:val="22"/>
          <w:color w:val="010000"/>
        </w:rPr>
      </w:pPr>
    </w:p>
    <w:p>
      <w:pPr>
        <w:jc w:val="both"/>
        <w:ind w:left="1500" w:firstLine="754"/>
        <w:spacing w:after="0" w:line="278" w:lineRule="auto"/>
        <w:tabs>
          <w:tab w:leader="none" w:pos="2998" w:val="left"/>
        </w:tabs>
        <w:numPr>
          <w:ilvl w:val="2"/>
          <w:numId w:val="40"/>
        </w:numPr>
        <w:rPr>
          <w:rFonts w:ascii="Arial" w:cs="Arial" w:eastAsia="Arial" w:hAnsi="Arial"/>
          <w:sz w:val="19"/>
          <w:szCs w:val="19"/>
          <w:color w:val="auto"/>
        </w:rPr>
      </w:pPr>
      <w:r>
        <w:rPr>
          <w:rFonts w:ascii="Arial" w:cs="Arial" w:eastAsia="Arial" w:hAnsi="Arial"/>
          <w:sz w:val="19"/>
          <w:szCs w:val="19"/>
          <w:color w:val="auto"/>
        </w:rPr>
        <w:t xml:space="preserve">In the event of a Qualifying Termination (as defined herein) prior to the Certification Date, a pro-rata portion of the PSUs (based on the number of days of employment or service actually served during the Performance Period compared to the total number of days in the Performance Period), shall remain outstanding and eligible to vest on the Certification Date in accordance with </w:t>
      </w:r>
      <w:r>
        <w:rPr>
          <w:rFonts w:ascii="Arial" w:cs="Arial" w:eastAsia="Arial" w:hAnsi="Arial"/>
          <w:sz w:val="19"/>
          <w:szCs w:val="19"/>
          <w:u w:val="single" w:color="auto"/>
          <w:color w:val="auto"/>
        </w:rPr>
        <w:t>Section 3</w:t>
      </w:r>
      <w:r>
        <w:rPr>
          <w:rFonts w:ascii="Arial" w:cs="Arial" w:eastAsia="Arial" w:hAnsi="Arial"/>
          <w:sz w:val="19"/>
          <w:szCs w:val="19"/>
          <w:color w:val="auto"/>
        </w:rPr>
        <w:t xml:space="preserve"> hereof. Any PSUs that do not vest in accordance with the foregoing shall be immediately forfeited and cancelled as of the Certification Date without consideration therefor, and the Participant will have no further rights to such PSUs hereunder.</w:t>
      </w:r>
    </w:p>
    <w:p>
      <w:pPr>
        <w:spacing w:after="0" w:line="153" w:lineRule="exact"/>
        <w:rPr>
          <w:rFonts w:ascii="Arial" w:cs="Arial" w:eastAsia="Arial" w:hAnsi="Arial"/>
          <w:sz w:val="19"/>
          <w:szCs w:val="19"/>
          <w:color w:val="auto"/>
        </w:rPr>
      </w:pPr>
    </w:p>
    <w:p>
      <w:pPr>
        <w:jc w:val="both"/>
        <w:ind w:left="1500" w:firstLine="754"/>
        <w:spacing w:after="0" w:line="264" w:lineRule="auto"/>
        <w:tabs>
          <w:tab w:leader="none" w:pos="2998" w:val="left"/>
        </w:tabs>
        <w:numPr>
          <w:ilvl w:val="2"/>
          <w:numId w:val="40"/>
        </w:numPr>
        <w:rPr>
          <w:rFonts w:ascii="Arial" w:cs="Arial" w:eastAsia="Arial" w:hAnsi="Arial"/>
          <w:sz w:val="20"/>
          <w:szCs w:val="20"/>
          <w:color w:val="auto"/>
        </w:rPr>
      </w:pPr>
      <w:r>
        <w:rPr>
          <w:rFonts w:ascii="Arial" w:cs="Arial" w:eastAsia="Arial" w:hAnsi="Arial"/>
          <w:sz w:val="20"/>
          <w:szCs w:val="20"/>
          <w:color w:val="auto"/>
        </w:rPr>
        <w:t xml:space="preserve">In the event of the Participant’s Separation from Service due to the Participant’s death or Disability (as defined herein) prior to the Certification Date, all PSUs shall remain outstanding and eligible to vest on the Certification Date in accordance with </w:t>
      </w:r>
      <w:r>
        <w:rPr>
          <w:rFonts w:ascii="Arial" w:cs="Arial" w:eastAsia="Arial" w:hAnsi="Arial"/>
          <w:sz w:val="20"/>
          <w:szCs w:val="20"/>
          <w:u w:val="single" w:color="auto"/>
          <w:color w:val="auto"/>
        </w:rPr>
        <w:t>Section 3</w:t>
      </w:r>
      <w:r>
        <w:rPr>
          <w:rFonts w:ascii="Arial" w:cs="Arial" w:eastAsia="Arial" w:hAnsi="Arial"/>
          <w:sz w:val="20"/>
          <w:szCs w:val="20"/>
          <w:color w:val="auto"/>
        </w:rPr>
        <w:t xml:space="preserve"> hereof. Any PSUs that do not vest in accordance with the foregoing shall be immediately forfeited and cancelled as of the Certification Date without consideration therefor, and the Participant will have no further rights to such PSUs hereunder.</w:t>
      </w:r>
    </w:p>
    <w:p>
      <w:pPr>
        <w:spacing w:after="0" w:line="164" w:lineRule="exact"/>
        <w:rPr>
          <w:rFonts w:ascii="Arial" w:cs="Arial" w:eastAsia="Arial" w:hAnsi="Arial"/>
          <w:sz w:val="20"/>
          <w:szCs w:val="20"/>
          <w:color w:val="auto"/>
        </w:rPr>
      </w:pPr>
    </w:p>
    <w:p>
      <w:pPr>
        <w:ind w:left="1500" w:firstLine="754"/>
        <w:spacing w:after="0" w:line="250" w:lineRule="auto"/>
        <w:tabs>
          <w:tab w:leader="none" w:pos="2998" w:val="left"/>
        </w:tabs>
        <w:numPr>
          <w:ilvl w:val="2"/>
          <w:numId w:val="40"/>
        </w:numPr>
        <w:rPr>
          <w:rFonts w:ascii="Arial" w:cs="Arial" w:eastAsia="Arial" w:hAnsi="Arial"/>
          <w:sz w:val="22"/>
          <w:szCs w:val="22"/>
          <w:color w:val="auto"/>
        </w:rPr>
      </w:pPr>
      <w:r>
        <w:rPr>
          <w:rFonts w:ascii="Arial" w:cs="Arial" w:eastAsia="Arial" w:hAnsi="Arial"/>
          <w:sz w:val="22"/>
          <w:szCs w:val="22"/>
          <w:color w:val="auto"/>
        </w:rPr>
        <w:t>Notwithstanding the foregoing, in the event of the Participant’s Qualifying Termination prior to the end of the Performance Period that occurs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8" w:name="page79"/>
    <w:bookmarkEnd w:id="78"/>
    <w:p>
      <w:pPr>
        <w:jc w:val="both"/>
        <w:ind w:left="1500"/>
        <w:spacing w:after="0"/>
        <w:rPr>
          <w:sz w:val="20"/>
          <w:szCs w:val="20"/>
          <w:color w:val="auto"/>
        </w:rPr>
      </w:pPr>
      <w:r>
        <w:rPr>
          <w:rFonts w:ascii="Arial" w:cs="Arial" w:eastAsia="Arial" w:hAnsi="Arial"/>
          <w:sz w:val="22"/>
          <w:szCs w:val="22"/>
          <w:color w:val="auto"/>
        </w:rPr>
        <w:t>within twelve (12) months following a Change in Control, the Performance Condition shall be deemed satisfied at the target level, and the Target PSUs shall be settled no later than thirty (30) days following the date of such Qualifying Termination.</w:t>
      </w:r>
    </w:p>
    <w:p>
      <w:pPr>
        <w:spacing w:after="0" w:line="185" w:lineRule="exact"/>
        <w:rPr>
          <w:sz w:val="20"/>
          <w:szCs w:val="20"/>
          <w:color w:val="auto"/>
        </w:rPr>
      </w:pPr>
    </w:p>
    <w:p>
      <w:pPr>
        <w:ind w:left="1500" w:hanging="743"/>
        <w:spacing w:after="0"/>
        <w:tabs>
          <w:tab w:leader="none" w:pos="1500" w:val="left"/>
        </w:tabs>
        <w:numPr>
          <w:ilvl w:val="0"/>
          <w:numId w:val="41"/>
        </w:numPr>
        <w:rPr>
          <w:rFonts w:ascii="Arial" w:cs="Arial" w:eastAsia="Arial" w:hAnsi="Arial"/>
          <w:sz w:val="20"/>
          <w:szCs w:val="20"/>
          <w:color w:val="auto"/>
        </w:rPr>
      </w:pPr>
      <w:r>
        <w:rPr>
          <w:rFonts w:ascii="Arial" w:cs="Arial" w:eastAsia="Arial" w:hAnsi="Arial"/>
          <w:sz w:val="20"/>
          <w:szCs w:val="20"/>
          <w:u w:val="single" w:color="auto"/>
          <w:color w:val="auto"/>
        </w:rPr>
        <w:t>Certain Definitions</w:t>
      </w:r>
      <w:r>
        <w:rPr>
          <w:rFonts w:ascii="Arial" w:cs="Arial" w:eastAsia="Arial" w:hAnsi="Arial"/>
          <w:sz w:val="20"/>
          <w:szCs w:val="20"/>
          <w:color w:val="auto"/>
        </w:rPr>
        <w:t>.  For purposes of this Agreement, the following terms shall have the meanings provided</w:t>
      </w:r>
    </w:p>
    <w:p>
      <w:pPr>
        <w:spacing w:after="0" w:line="31" w:lineRule="exact"/>
        <w:rPr>
          <w:sz w:val="20"/>
          <w:szCs w:val="20"/>
          <w:color w:val="auto"/>
        </w:rPr>
      </w:pPr>
    </w:p>
    <w:p>
      <w:pPr>
        <w:spacing w:after="0"/>
        <w:rPr>
          <w:sz w:val="20"/>
          <w:szCs w:val="20"/>
          <w:color w:val="auto"/>
        </w:rPr>
      </w:pPr>
      <w:r>
        <w:rPr>
          <w:rFonts w:ascii="Arial" w:cs="Arial" w:eastAsia="Arial" w:hAnsi="Arial"/>
          <w:sz w:val="22"/>
          <w:szCs w:val="22"/>
          <w:color w:val="auto"/>
        </w:rPr>
        <w:t>below:</w:t>
      </w:r>
    </w:p>
    <w:p>
      <w:pPr>
        <w:spacing w:after="0" w:line="187" w:lineRule="exact"/>
        <w:rPr>
          <w:sz w:val="20"/>
          <w:szCs w:val="20"/>
          <w:color w:val="auto"/>
        </w:rPr>
      </w:pPr>
    </w:p>
    <w:p>
      <w:pPr>
        <w:jc w:val="both"/>
        <w:ind w:left="760" w:firstLine="745"/>
        <w:spacing w:after="0" w:line="259" w:lineRule="auto"/>
        <w:tabs>
          <w:tab w:leader="none" w:pos="2315" w:val="left"/>
        </w:tabs>
        <w:numPr>
          <w:ilvl w:val="0"/>
          <w:numId w:val="4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Cause</w:t>
      </w:r>
      <w:r>
        <w:rPr>
          <w:rFonts w:ascii="Arial" w:cs="Arial" w:eastAsia="Arial" w:hAnsi="Arial"/>
          <w:sz w:val="20"/>
          <w:szCs w:val="20"/>
          <w:color w:val="auto"/>
        </w:rPr>
        <w:t>” means (i) the Participant’s willful misconduct or gross negligence in the performance of the Participant’s duties to the Company; (ii) the Participant’s continued refusal to substantially perform the Participant’s material duties to the Company or to follow the lawful directives of the Company’s Board of Directors (other than as a result of death or physical or mental incapacity) that continues after written notice from the Company; (iii) the Participant’s indictment for, conviction of, or pleading of guilty or nolo contendere to, a felony or any crime involving moral turpitude; (iv) the Participant’s performance of any material act of theft, embezzlement, fraud, malfeasance, dishonesty or misappropriation of the Company’s property; or (v) material breach of this Agreement or any other agreement with the Company, or a material violation of the Company’s code of conduct or other written policy that is not cured within ten (10) days of notice from the Company.</w:t>
      </w:r>
    </w:p>
    <w:p>
      <w:pPr>
        <w:spacing w:after="0" w:line="166" w:lineRule="exact"/>
        <w:rPr>
          <w:rFonts w:ascii="Arial" w:cs="Arial" w:eastAsia="Arial" w:hAnsi="Arial"/>
          <w:sz w:val="20"/>
          <w:szCs w:val="20"/>
          <w:color w:val="auto"/>
        </w:rPr>
      </w:pPr>
    </w:p>
    <w:p>
      <w:pPr>
        <w:jc w:val="both"/>
        <w:ind w:left="760" w:firstLine="745"/>
        <w:spacing w:after="0" w:line="276" w:lineRule="auto"/>
        <w:tabs>
          <w:tab w:leader="none" w:pos="2369" w:val="left"/>
        </w:tabs>
        <w:numPr>
          <w:ilvl w:val="0"/>
          <w:numId w:val="4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Disability</w:t>
      </w:r>
      <w:r>
        <w:rPr>
          <w:rFonts w:ascii="Arial" w:cs="Arial" w:eastAsia="Arial" w:hAnsi="Arial"/>
          <w:sz w:val="19"/>
          <w:szCs w:val="19"/>
          <w:color w:val="auto"/>
        </w:rPr>
        <w:t>” means the Participant’s inability to engage in any substantial gainful activity by reason of any medically determinable physical or mental impairment that can be expected to result in death or can be expected to last for a continuous period of not less than twelve (12) months or is, by reason of any medically determinable physical or mental impairment that can be expected to result in death or can be expected to last for a continuous period of not less than twelve (12) months, receiving income replacement benefits for a period of not less than three months under an accident and health plan covering employees of the Participant’s employer. The existence of a Disability shall be evidenced by such medical certification as the Secretary of the Company shall require and as the Committee approves.</w:t>
      </w:r>
    </w:p>
    <w:p>
      <w:pPr>
        <w:spacing w:after="0" w:line="155" w:lineRule="exact"/>
        <w:rPr>
          <w:rFonts w:ascii="Arial" w:cs="Arial" w:eastAsia="Arial" w:hAnsi="Arial"/>
          <w:sz w:val="19"/>
          <w:szCs w:val="19"/>
          <w:color w:val="auto"/>
        </w:rPr>
      </w:pPr>
    </w:p>
    <w:p>
      <w:pPr>
        <w:jc w:val="both"/>
        <w:ind w:left="760" w:firstLine="745"/>
        <w:spacing w:after="0" w:line="257" w:lineRule="auto"/>
        <w:tabs>
          <w:tab w:leader="none" w:pos="2315" w:val="left"/>
        </w:tabs>
        <w:numPr>
          <w:ilvl w:val="0"/>
          <w:numId w:val="4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Good Reason</w:t>
      </w:r>
      <w:r>
        <w:rPr>
          <w:rFonts w:ascii="Arial" w:cs="Arial" w:eastAsia="Arial" w:hAnsi="Arial"/>
          <w:sz w:val="20"/>
          <w:szCs w:val="20"/>
          <w:color w:val="auto"/>
        </w:rPr>
        <w:t>” means the occurrence of any of the following events: (i) reduction in Participant’s base salary or target bonus, (ii) any material diminution in Participant’s titles, duties or responsibilities or the assignment to Participant of duties or responsibilities that materially impairs Participant’s ability to perform the duties or responsibilities then assigned to the Participant or normally assigned to someone in the Participant’s role of an enterprise of the size and structure of the Company, (iii) the assignment of duties to the Participant that are materially inconsistent with the Participant’s position with the Company, or (iv) a material breach of this Agreement or any other material, written agreement with Participant. For purposes of this Agreement, Participant shall have Good Reason to terminate employment if, within thirty (30) days after Participant knows (or has reason to know) of the occurrence of any of the events described above, Participant provides written notice requesting cure to the Board of such events, and the Board fails to cure, if curable, such events within thirty (30) days following receipt of such notice, and the Participant actually terminates employment within ninety (90) days following the expiration of such cure period.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9" w:name="page80"/>
    <w:bookmarkEnd w:id="79"/>
    <w:p>
      <w:pPr>
        <w:ind w:left="1860" w:hanging="355"/>
        <w:spacing w:after="0"/>
        <w:tabs>
          <w:tab w:leader="none" w:pos="1860" w:val="left"/>
        </w:tabs>
        <w:numPr>
          <w:ilvl w:val="1"/>
          <w:numId w:val="4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Qualifying Termination</w:t>
      </w:r>
      <w:r>
        <w:rPr>
          <w:rFonts w:ascii="Arial" w:cs="Arial" w:eastAsia="Arial" w:hAnsi="Arial"/>
          <w:sz w:val="20"/>
          <w:szCs w:val="20"/>
          <w:color w:val="auto"/>
        </w:rPr>
        <w:t>” means a termination of the Participant’s service with the Company or an Affiliate</w:t>
      </w:r>
    </w:p>
    <w:p>
      <w:pPr>
        <w:spacing w:after="0" w:line="31" w:lineRule="exact"/>
        <w:rPr>
          <w:rFonts w:ascii="Arial" w:cs="Arial" w:eastAsia="Arial" w:hAnsi="Arial"/>
          <w:sz w:val="20"/>
          <w:szCs w:val="20"/>
          <w:color w:val="auto"/>
        </w:rPr>
      </w:pPr>
    </w:p>
    <w:p>
      <w:pPr>
        <w:ind w:left="760" w:hanging="3"/>
        <w:spacing w:after="0" w:line="236" w:lineRule="auto"/>
        <w:tabs>
          <w:tab w:leader="none" w:pos="1090" w:val="left"/>
        </w:tabs>
        <w:numPr>
          <w:ilvl w:val="0"/>
          <w:numId w:val="44"/>
        </w:numPr>
        <w:rPr>
          <w:rFonts w:ascii="Arial" w:cs="Arial" w:eastAsia="Arial" w:hAnsi="Arial"/>
          <w:sz w:val="22"/>
          <w:szCs w:val="22"/>
          <w:color w:val="auto"/>
        </w:rPr>
      </w:pPr>
      <w:r>
        <w:rPr>
          <w:rFonts w:ascii="Arial" w:cs="Arial" w:eastAsia="Arial" w:hAnsi="Arial"/>
          <w:sz w:val="22"/>
          <w:szCs w:val="22"/>
          <w:color w:val="auto"/>
        </w:rPr>
        <w:t>by the Company (or Affiliate, as applicable) without “Cause” (y) by the Participant for Good Reason, or (z) as a result of the Participant’s Retirement.</w:t>
      </w:r>
    </w:p>
    <w:p>
      <w:pPr>
        <w:spacing w:after="0" w:line="185" w:lineRule="exact"/>
        <w:rPr>
          <w:rFonts w:ascii="Arial" w:cs="Arial" w:eastAsia="Arial" w:hAnsi="Arial"/>
          <w:sz w:val="22"/>
          <w:szCs w:val="22"/>
          <w:color w:val="auto"/>
        </w:rPr>
      </w:pPr>
    </w:p>
    <w:p>
      <w:pPr>
        <w:jc w:val="both"/>
        <w:ind w:left="760" w:firstLine="745"/>
        <w:spacing w:after="0" w:line="237" w:lineRule="auto"/>
        <w:tabs>
          <w:tab w:leader="none" w:pos="1940" w:val="left"/>
        </w:tabs>
        <w:numPr>
          <w:ilvl w:val="1"/>
          <w:numId w:val="4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Retirement</w:t>
      </w:r>
      <w:r>
        <w:rPr>
          <w:rFonts w:ascii="Arial" w:cs="Arial" w:eastAsia="Arial" w:hAnsi="Arial"/>
          <w:sz w:val="22"/>
          <w:szCs w:val="22"/>
          <w:color w:val="auto"/>
        </w:rPr>
        <w:t xml:space="preserve">” means a Separation from Service due to the Participant’s retirement if, at such time, (i) the Participant is age 50 or older and (ii) the sum of Participant’s age </w:t>
      </w:r>
      <w:r>
        <w:rPr>
          <w:rFonts w:ascii="Arial" w:cs="Arial" w:eastAsia="Arial" w:hAnsi="Arial"/>
          <w:sz w:val="22"/>
          <w:szCs w:val="22"/>
          <w:i w:val="1"/>
          <w:iCs w:val="1"/>
          <w:color w:val="auto"/>
        </w:rPr>
        <w:t>plus</w:t>
      </w:r>
      <w:r>
        <w:rPr>
          <w:rFonts w:ascii="Arial" w:cs="Arial" w:eastAsia="Arial" w:hAnsi="Arial"/>
          <w:sz w:val="22"/>
          <w:szCs w:val="22"/>
          <w:color w:val="auto"/>
        </w:rPr>
        <w:t xml:space="preserve"> total years of service with the Company or an Affiliate equals at least 65 years; provided, that no such Separation from Service shall constitute “Retirement” without the consent of the Committee.</w:t>
      </w:r>
    </w:p>
    <w:p>
      <w:pPr>
        <w:spacing w:after="0" w:line="187" w:lineRule="exact"/>
        <w:rPr>
          <w:sz w:val="20"/>
          <w:szCs w:val="20"/>
          <w:color w:val="auto"/>
        </w:rPr>
      </w:pPr>
    </w:p>
    <w:p>
      <w:pPr>
        <w:jc w:val="both"/>
        <w:ind w:firstLine="757"/>
        <w:spacing w:after="0" w:line="257" w:lineRule="auto"/>
        <w:tabs>
          <w:tab w:leader="none" w:pos="1498" w:val="left"/>
        </w:tabs>
        <w:numPr>
          <w:ilvl w:val="0"/>
          <w:numId w:val="45"/>
        </w:numPr>
        <w:rPr>
          <w:rFonts w:ascii="Arial" w:cs="Arial" w:eastAsia="Arial" w:hAnsi="Arial"/>
          <w:sz w:val="20"/>
          <w:szCs w:val="20"/>
          <w:color w:val="auto"/>
        </w:rPr>
      </w:pPr>
      <w:r>
        <w:rPr>
          <w:rFonts w:ascii="Arial" w:cs="Arial" w:eastAsia="Arial" w:hAnsi="Arial"/>
          <w:sz w:val="20"/>
          <w:szCs w:val="20"/>
          <w:u w:val="single" w:color="auto"/>
          <w:color w:val="auto"/>
        </w:rPr>
        <w:t>Settlement of Vested PSUs</w:t>
      </w:r>
      <w:r>
        <w:rPr>
          <w:rFonts w:ascii="Arial" w:cs="Arial" w:eastAsia="Arial" w:hAnsi="Arial"/>
          <w:sz w:val="20"/>
          <w:szCs w:val="20"/>
          <w:color w:val="auto"/>
        </w:rPr>
        <w:t>. The Company shall, as soon as reasonably practicable following the Certification Date, but in no event later than March 15th of the calendar year immediately following the end of the Performance Period (the “</w:t>
      </w:r>
      <w:r>
        <w:rPr>
          <w:rFonts w:ascii="Arial" w:cs="Arial" w:eastAsia="Arial" w:hAnsi="Arial"/>
          <w:sz w:val="20"/>
          <w:szCs w:val="20"/>
          <w:u w:val="single" w:color="auto"/>
          <w:color w:val="auto"/>
        </w:rPr>
        <w:t>Outside Settlement Date</w:t>
      </w:r>
      <w:r>
        <w:rPr>
          <w:rFonts w:ascii="Arial" w:cs="Arial" w:eastAsia="Arial" w:hAnsi="Arial"/>
          <w:sz w:val="20"/>
          <w:szCs w:val="20"/>
          <w:color w:val="auto"/>
        </w:rPr>
        <w:t>”), deliver to the Participant the number of Shares that correspond to the number of PSUs (if any) that have become vested in accordance with this Agreement. The Committee may, in its sole discretion, settle any PSUs by payment to the Participant in cash of an amount equal to the Fair Market Value of the Shares as of the payment date. For the avoidance of doubt, the Participant acknowledges and agrees that if the Committee determines that, as of the Certification Date, an insufficient number of authorized Shares are reserved under the Plan to settle vested PSUs, the Committee may provide for any of the following (or a combination thereof): (i) the settlement of the Shares (or any portion therefore) be delayed until the Company’s shareholders approve the reservation of a sufficient number of additional Shares under the Plan, (ii) to the extent permitted by law, the vested PSUs be settled by delivery of Shares authorized for issuance under a successor equity incentive plan of the Company or (iii) any vested PSUs be settled by payment to the Participant of cash of an amount equal to the Fair Market Value of the Shares as of the payment date, provided that in all events such settlement or payment, as applicable, will occur not later than the Outside Settlement Date.</w:t>
      </w:r>
    </w:p>
    <w:p>
      <w:pPr>
        <w:spacing w:after="0" w:line="169" w:lineRule="exact"/>
        <w:rPr>
          <w:rFonts w:ascii="Arial" w:cs="Arial" w:eastAsia="Arial" w:hAnsi="Arial"/>
          <w:sz w:val="20"/>
          <w:szCs w:val="20"/>
          <w:color w:val="auto"/>
        </w:rPr>
      </w:pPr>
    </w:p>
    <w:p>
      <w:pPr>
        <w:jc w:val="both"/>
        <w:ind w:firstLine="757"/>
        <w:spacing w:after="0" w:line="276" w:lineRule="auto"/>
        <w:tabs>
          <w:tab w:leader="none" w:pos="1498" w:val="left"/>
        </w:tabs>
        <w:numPr>
          <w:ilvl w:val="0"/>
          <w:numId w:val="45"/>
        </w:numPr>
        <w:rPr>
          <w:rFonts w:ascii="Arial" w:cs="Arial" w:eastAsia="Arial" w:hAnsi="Arial"/>
          <w:sz w:val="20"/>
          <w:szCs w:val="20"/>
          <w:color w:val="auto"/>
        </w:rPr>
      </w:pPr>
      <w:r>
        <w:rPr>
          <w:rFonts w:ascii="Arial" w:cs="Arial" w:eastAsia="Arial" w:hAnsi="Arial"/>
          <w:sz w:val="20"/>
          <w:szCs w:val="20"/>
          <w:u w:val="single" w:color="auto"/>
          <w:color w:val="auto"/>
        </w:rPr>
        <w:t>No Ri</w:t>
      </w:r>
      <w:r>
        <w:rPr>
          <w:rFonts w:ascii="Arial" w:cs="Arial" w:eastAsia="Arial" w:hAnsi="Arial"/>
          <w:sz w:val="20"/>
          <w:szCs w:val="20"/>
          <w:color w:val="auto"/>
        </w:rPr>
        <w:t>g</w:t>
      </w:r>
      <w:r>
        <w:rPr>
          <w:rFonts w:ascii="Arial" w:cs="Arial" w:eastAsia="Arial" w:hAnsi="Arial"/>
          <w:sz w:val="20"/>
          <w:szCs w:val="20"/>
          <w:u w:val="single" w:color="auto"/>
          <w:color w:val="auto"/>
        </w:rPr>
        <w:t>hts as Stockholder</w:t>
      </w:r>
      <w:r>
        <w:rPr>
          <w:rFonts w:ascii="Arial" w:cs="Arial" w:eastAsia="Arial" w:hAnsi="Arial"/>
          <w:sz w:val="20"/>
          <w:szCs w:val="20"/>
          <w:color w:val="auto"/>
        </w:rPr>
        <w:t xml:space="preserve">. The Participant shall have no rights as a stockholder (including, without limitation, voting rights and rights to dividends) with respect to any shares of Common Stock covered by any PSU, unless and until such shares of Common Stock have been settled and delivered to the Participant pursuant to </w:t>
      </w:r>
      <w:r>
        <w:rPr>
          <w:rFonts w:ascii="Arial" w:cs="Arial" w:eastAsia="Arial" w:hAnsi="Arial"/>
          <w:sz w:val="20"/>
          <w:szCs w:val="20"/>
          <w:u w:val="single" w:color="auto"/>
          <w:color w:val="auto"/>
        </w:rPr>
        <w:t>Section 4(b)(iii)</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6</w:t>
      </w:r>
      <w:r>
        <w:rPr>
          <w:rFonts w:ascii="Arial" w:cs="Arial" w:eastAsia="Arial" w:hAnsi="Arial"/>
          <w:sz w:val="20"/>
          <w:szCs w:val="20"/>
          <w:color w:val="auto"/>
        </w:rPr>
        <w:t xml:space="preserve"> hereof.</w:t>
      </w:r>
    </w:p>
    <w:p>
      <w:pPr>
        <w:spacing w:after="0" w:line="150" w:lineRule="exact"/>
        <w:rPr>
          <w:rFonts w:ascii="Arial" w:cs="Arial" w:eastAsia="Arial" w:hAnsi="Arial"/>
          <w:sz w:val="20"/>
          <w:szCs w:val="20"/>
          <w:color w:val="auto"/>
        </w:rPr>
      </w:pPr>
    </w:p>
    <w:p>
      <w:pPr>
        <w:jc w:val="both"/>
        <w:ind w:firstLine="757"/>
        <w:spacing w:after="0" w:line="268" w:lineRule="auto"/>
        <w:tabs>
          <w:tab w:leader="none" w:pos="1498" w:val="left"/>
        </w:tabs>
        <w:numPr>
          <w:ilvl w:val="0"/>
          <w:numId w:val="45"/>
        </w:numPr>
        <w:rPr>
          <w:rFonts w:ascii="Arial" w:cs="Arial" w:eastAsia="Arial" w:hAnsi="Arial"/>
          <w:sz w:val="20"/>
          <w:szCs w:val="20"/>
          <w:color w:val="auto"/>
        </w:rPr>
      </w:pPr>
      <w:r>
        <w:rPr>
          <w:rFonts w:ascii="Arial" w:cs="Arial" w:eastAsia="Arial" w:hAnsi="Arial"/>
          <w:sz w:val="20"/>
          <w:szCs w:val="20"/>
          <w:u w:val="single" w:color="auto"/>
          <w:color w:val="auto"/>
        </w:rPr>
        <w:t>Non-Transferabilit</w:t>
      </w:r>
      <w:r>
        <w:rPr>
          <w:rFonts w:ascii="Arial" w:cs="Arial" w:eastAsia="Arial" w:hAnsi="Arial"/>
          <w:sz w:val="20"/>
          <w:szCs w:val="20"/>
          <w:color w:val="auto"/>
        </w:rPr>
        <w:t>y. No portion of the PSUs may be sold, assigned, transferred, encumbered, hypothecated or pledged by the Participant, other than to the Company as a result of forfeiture of the PSUs as provided herein, unless and until payment is made in respect of vested PSUs in accordance with the provisions hereof and the Participant has become the holder of record of the vested shares of Common Stock issuable hereunder.</w:t>
      </w:r>
    </w:p>
    <w:p>
      <w:pPr>
        <w:spacing w:after="0" w:line="159" w:lineRule="exact"/>
        <w:rPr>
          <w:rFonts w:ascii="Arial" w:cs="Arial" w:eastAsia="Arial" w:hAnsi="Arial"/>
          <w:sz w:val="20"/>
          <w:szCs w:val="20"/>
          <w:color w:val="auto"/>
        </w:rPr>
      </w:pPr>
    </w:p>
    <w:p>
      <w:pPr>
        <w:jc w:val="both"/>
        <w:ind w:firstLine="757"/>
        <w:spacing w:after="0"/>
        <w:tabs>
          <w:tab w:leader="none" w:pos="1498" w:val="left"/>
        </w:tabs>
        <w:numPr>
          <w:ilvl w:val="0"/>
          <w:numId w:val="45"/>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All questions concerning the construction, validity and interpretation of this Agreement shall be governed by, and construed in accordance with, the laws of the State of Delaware, without regard to the choice of law principles thereof.</w:t>
      </w:r>
    </w:p>
    <w:p>
      <w:pPr>
        <w:spacing w:after="0" w:line="184" w:lineRule="exact"/>
        <w:rPr>
          <w:rFonts w:ascii="Arial" w:cs="Arial" w:eastAsia="Arial" w:hAnsi="Arial"/>
          <w:sz w:val="22"/>
          <w:szCs w:val="22"/>
          <w:color w:val="auto"/>
        </w:rPr>
      </w:pPr>
    </w:p>
    <w:p>
      <w:pPr>
        <w:jc w:val="both"/>
        <w:ind w:firstLine="757"/>
        <w:spacing w:after="0"/>
        <w:tabs>
          <w:tab w:leader="none" w:pos="1498" w:val="left"/>
        </w:tabs>
        <w:numPr>
          <w:ilvl w:val="0"/>
          <w:numId w:val="45"/>
        </w:numPr>
        <w:rPr>
          <w:rFonts w:ascii="Arial" w:cs="Arial" w:eastAsia="Arial" w:hAnsi="Arial"/>
          <w:sz w:val="22"/>
          <w:szCs w:val="22"/>
          <w:color w:val="auto"/>
        </w:rPr>
      </w:pPr>
      <w:r>
        <w:rPr>
          <w:rFonts w:ascii="Arial" w:cs="Arial" w:eastAsia="Arial" w:hAnsi="Arial"/>
          <w:sz w:val="22"/>
          <w:szCs w:val="22"/>
          <w:u w:val="single" w:color="auto"/>
          <w:color w:val="auto"/>
        </w:rPr>
        <w:t>Taxes</w:t>
      </w:r>
      <w:r>
        <w:rPr>
          <w:rFonts w:ascii="Arial" w:cs="Arial" w:eastAsia="Arial" w:hAnsi="Arial"/>
          <w:sz w:val="22"/>
          <w:szCs w:val="22"/>
          <w:color w:val="auto"/>
        </w:rPr>
        <w:t>. To the extent the Participant has taxable income in connection with the grant, vesting, payment or delivery of the PSUs, the Company is authorized to withhold from any compensation payable to Participant, including shares of Common Stock that the Company is to</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0" w:name="page81"/>
    <w:bookmarkEnd w:id="80"/>
    <w:p>
      <w:pPr>
        <w:jc w:val="both"/>
        <w:spacing w:after="0"/>
        <w:rPr>
          <w:sz w:val="20"/>
          <w:szCs w:val="20"/>
          <w:color w:val="auto"/>
        </w:rPr>
      </w:pPr>
      <w:r>
        <w:rPr>
          <w:rFonts w:ascii="Arial" w:cs="Arial" w:eastAsia="Arial" w:hAnsi="Arial"/>
          <w:sz w:val="22"/>
          <w:szCs w:val="22"/>
          <w:color w:val="auto"/>
        </w:rPr>
        <w:t>deliver to the Participant, or require the Participant to remit to the Company any taxes required to be withheld by foreign, federal, state, provincial or local law. By executing this Agreement, the Participant authorizes the Company to withhold any applicable taxes.</w:t>
      </w:r>
    </w:p>
    <w:p>
      <w:pPr>
        <w:spacing w:after="0" w:line="186" w:lineRule="exact"/>
        <w:rPr>
          <w:sz w:val="20"/>
          <w:szCs w:val="20"/>
          <w:color w:val="auto"/>
        </w:rPr>
      </w:pPr>
    </w:p>
    <w:p>
      <w:pPr>
        <w:jc w:val="both"/>
        <w:ind w:firstLine="757"/>
        <w:spacing w:after="0" w:line="259" w:lineRule="auto"/>
        <w:tabs>
          <w:tab w:leader="none" w:pos="1498" w:val="left"/>
        </w:tabs>
        <w:numPr>
          <w:ilvl w:val="0"/>
          <w:numId w:val="46"/>
        </w:numPr>
        <w:rPr>
          <w:rFonts w:ascii="Arial" w:cs="Arial" w:eastAsia="Arial" w:hAnsi="Arial"/>
          <w:sz w:val="20"/>
          <w:szCs w:val="20"/>
          <w:color w:val="auto"/>
        </w:rPr>
      </w:pPr>
      <w:r>
        <w:rPr>
          <w:rFonts w:ascii="Arial" w:cs="Arial" w:eastAsia="Arial" w:hAnsi="Arial"/>
          <w:sz w:val="20"/>
          <w:szCs w:val="20"/>
          <w:u w:val="single" w:color="auto"/>
          <w:color w:val="auto"/>
        </w:rPr>
        <w:t>Entire Agreement; Amendment</w:t>
      </w:r>
      <w:r>
        <w:rPr>
          <w:rFonts w:ascii="Arial" w:cs="Arial" w:eastAsia="Arial" w:hAnsi="Arial"/>
          <w:sz w:val="20"/>
          <w:szCs w:val="20"/>
          <w:color w:val="auto"/>
        </w:rPr>
        <w:t>. This Agreement, together with the Plan, contains the entire agreement between the parties hereto with respect to the subject matter contained herein, and supersedes all prior agreements or prior understandings, whether written or oral, between the parties relating to such subject matter. For the avoidance of doubt, the vesting terms in this Agreement shall supersede the vesting terms that may be provided in any employment agreement or severance agreement to which the Participant may be a party. The Committee shall have the right, in its sole discretion, to modify or amend this Agreement from time to time in accordance with and as provided in the Plan. This Agreement may also be modified or amended by a writing signed by both the Company and the Participant. The Company shall give written notice to the Participant of any such modification or amendment of this Agreement as soon as practicable after the adoption thereof.</w:t>
      </w:r>
    </w:p>
    <w:p>
      <w:pPr>
        <w:spacing w:after="0" w:line="171" w:lineRule="exact"/>
        <w:rPr>
          <w:rFonts w:ascii="Arial" w:cs="Arial" w:eastAsia="Arial" w:hAnsi="Arial"/>
          <w:sz w:val="20"/>
          <w:szCs w:val="20"/>
          <w:color w:val="auto"/>
        </w:rPr>
      </w:pPr>
    </w:p>
    <w:p>
      <w:pPr>
        <w:jc w:val="both"/>
        <w:ind w:firstLine="757"/>
        <w:spacing w:after="0" w:line="268" w:lineRule="auto"/>
        <w:tabs>
          <w:tab w:leader="none" w:pos="1498" w:val="left"/>
        </w:tabs>
        <w:numPr>
          <w:ilvl w:val="0"/>
          <w:numId w:val="46"/>
        </w:numPr>
        <w:rPr>
          <w:rFonts w:ascii="Arial" w:cs="Arial" w:eastAsia="Arial" w:hAnsi="Arial"/>
          <w:sz w:val="20"/>
          <w:szCs w:val="20"/>
          <w:color w:val="auto"/>
        </w:rPr>
      </w:pPr>
      <w:r>
        <w:rPr>
          <w:rFonts w:ascii="Arial" w:cs="Arial" w:eastAsia="Arial" w:hAnsi="Arial"/>
          <w:sz w:val="20"/>
          <w:szCs w:val="20"/>
          <w:u w:val="single" w:color="auto"/>
          <w:color w:val="auto"/>
        </w:rPr>
        <w:t>Notices</w:t>
      </w:r>
      <w:r>
        <w:rPr>
          <w:rFonts w:ascii="Arial" w:cs="Arial" w:eastAsia="Arial" w:hAnsi="Arial"/>
          <w:sz w:val="20"/>
          <w:szCs w:val="20"/>
          <w:color w:val="auto"/>
        </w:rPr>
        <w:t>. Any notice hereunder by the Participant shall be given to the Company in writing and such notice shall be deemed duly given only upon receipt thereof by the General Counsel (or its designee) of the Company, or, if not available, the Board. Any notice hereunder by the Company shall be given to the Participant in writing and such notice shall be deemed duly given only upon receipt thereof at such address as the Participant may have on file with the Company.</w:t>
      </w:r>
    </w:p>
    <w:p>
      <w:pPr>
        <w:spacing w:after="0" w:line="159" w:lineRule="exact"/>
        <w:rPr>
          <w:rFonts w:ascii="Arial" w:cs="Arial" w:eastAsia="Arial" w:hAnsi="Arial"/>
          <w:sz w:val="20"/>
          <w:szCs w:val="20"/>
          <w:color w:val="auto"/>
        </w:rPr>
      </w:pPr>
    </w:p>
    <w:p>
      <w:pPr>
        <w:ind w:firstLine="757"/>
        <w:spacing w:after="0" w:line="299" w:lineRule="auto"/>
        <w:tabs>
          <w:tab w:leader="none" w:pos="1498" w:val="left"/>
        </w:tabs>
        <w:numPr>
          <w:ilvl w:val="0"/>
          <w:numId w:val="46"/>
        </w:numPr>
        <w:rPr>
          <w:rFonts w:ascii="Arial" w:cs="Arial" w:eastAsia="Arial" w:hAnsi="Arial"/>
          <w:sz w:val="20"/>
          <w:szCs w:val="20"/>
          <w:color w:val="auto"/>
        </w:rPr>
      </w:pPr>
      <w:r>
        <w:rPr>
          <w:rFonts w:ascii="Arial" w:cs="Arial" w:eastAsia="Arial" w:hAnsi="Arial"/>
          <w:sz w:val="20"/>
          <w:szCs w:val="20"/>
          <w:u w:val="single" w:color="auto"/>
          <w:color w:val="auto"/>
        </w:rPr>
        <w:t>No Ri</w:t>
      </w:r>
      <w:r>
        <w:rPr>
          <w:rFonts w:ascii="Arial" w:cs="Arial" w:eastAsia="Arial" w:hAnsi="Arial"/>
          <w:sz w:val="20"/>
          <w:szCs w:val="20"/>
          <w:color w:val="auto"/>
        </w:rPr>
        <w:t>g</w:t>
      </w:r>
      <w:r>
        <w:rPr>
          <w:rFonts w:ascii="Arial" w:cs="Arial" w:eastAsia="Arial" w:hAnsi="Arial"/>
          <w:sz w:val="20"/>
          <w:szCs w:val="20"/>
          <w:u w:val="single" w:color="auto"/>
          <w:color w:val="auto"/>
        </w:rPr>
        <w:t>ht to Service</w:t>
      </w:r>
      <w:r>
        <w:rPr>
          <w:rFonts w:ascii="Arial" w:cs="Arial" w:eastAsia="Arial" w:hAnsi="Arial"/>
          <w:sz w:val="20"/>
          <w:szCs w:val="20"/>
          <w:color w:val="auto"/>
        </w:rPr>
        <w:t>. Nothing in this Agreement shall interfere with or limit in any way the right of the Company or its Subsidiaries to terminate the Participant’s service at any time, for any reason and with or without Cause.</w:t>
      </w:r>
    </w:p>
    <w:p>
      <w:pPr>
        <w:spacing w:after="0" w:line="128" w:lineRule="exact"/>
        <w:rPr>
          <w:rFonts w:ascii="Arial" w:cs="Arial" w:eastAsia="Arial" w:hAnsi="Arial"/>
          <w:sz w:val="20"/>
          <w:szCs w:val="20"/>
          <w:color w:val="auto"/>
        </w:rPr>
      </w:pPr>
    </w:p>
    <w:p>
      <w:pPr>
        <w:jc w:val="both"/>
        <w:ind w:firstLine="757"/>
        <w:spacing w:after="0" w:line="260" w:lineRule="auto"/>
        <w:tabs>
          <w:tab w:leader="none" w:pos="1498" w:val="left"/>
        </w:tabs>
        <w:numPr>
          <w:ilvl w:val="0"/>
          <w:numId w:val="46"/>
        </w:numPr>
        <w:rPr>
          <w:rFonts w:ascii="Arial" w:cs="Arial" w:eastAsia="Arial" w:hAnsi="Arial"/>
          <w:sz w:val="20"/>
          <w:szCs w:val="20"/>
          <w:color w:val="auto"/>
        </w:rPr>
      </w:pPr>
      <w:r>
        <w:rPr>
          <w:rFonts w:ascii="Arial" w:cs="Arial" w:eastAsia="Arial" w:hAnsi="Arial"/>
          <w:sz w:val="20"/>
          <w:szCs w:val="20"/>
          <w:u w:val="single" w:color="auto"/>
          <w:color w:val="auto"/>
        </w:rPr>
        <w:t>Compliance with Laws</w:t>
      </w:r>
      <w:r>
        <w:rPr>
          <w:rFonts w:ascii="Arial" w:cs="Arial" w:eastAsia="Arial" w:hAnsi="Arial"/>
          <w:sz w:val="20"/>
          <w:szCs w:val="20"/>
          <w:color w:val="auto"/>
        </w:rPr>
        <w:t>. The grant of PSUs shall be subject to, and shall comply with, any applicable requirements of any foreign and U.S. federal and state securities laws, rules and regulations (including, without limitation, the provisions of the Securities Act, the Exchange Act and in each case any respective rules and regulations promulgated thereunder) and any other law, rule regulation or exchange requirement applicable thereto. The Company shall not be obligated to issue the PSUs pursuant to this Agreement if any such issuance would violate any such requirements. As a condition to the settlement of the PSUs, the Company may require the Participant to satisfy any qualifications that may be necessary or appropriate to evidence compliance with any applicable law or regulation.</w:t>
      </w:r>
    </w:p>
    <w:p>
      <w:pPr>
        <w:spacing w:after="0" w:line="170" w:lineRule="exact"/>
        <w:rPr>
          <w:rFonts w:ascii="Arial" w:cs="Arial" w:eastAsia="Arial" w:hAnsi="Arial"/>
          <w:sz w:val="20"/>
          <w:szCs w:val="20"/>
          <w:color w:val="auto"/>
        </w:rPr>
      </w:pPr>
    </w:p>
    <w:p>
      <w:pPr>
        <w:jc w:val="both"/>
        <w:ind w:firstLine="757"/>
        <w:spacing w:after="0"/>
        <w:tabs>
          <w:tab w:leader="none" w:pos="1498"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Section 409A</w:t>
      </w:r>
      <w:r>
        <w:rPr>
          <w:rFonts w:ascii="Arial" w:cs="Arial" w:eastAsia="Arial" w:hAnsi="Arial"/>
          <w:sz w:val="22"/>
          <w:szCs w:val="22"/>
          <w:color w:val="auto"/>
        </w:rPr>
        <w:t>. Notwithstanding anything herein or in the Plan to the contrary, the PSUs are intended to be exempt from the applicable requirements of Section 409A of the Code and shall be limited, construed and interpreted in accordance with such intent as is reasonable under the circumstances.</w:t>
      </w:r>
    </w:p>
    <w:p>
      <w:pPr>
        <w:spacing w:after="0" w:line="184" w:lineRule="exact"/>
        <w:rPr>
          <w:rFonts w:ascii="Arial" w:cs="Arial" w:eastAsia="Arial" w:hAnsi="Arial"/>
          <w:sz w:val="22"/>
          <w:szCs w:val="22"/>
          <w:color w:val="auto"/>
        </w:rPr>
      </w:pPr>
    </w:p>
    <w:p>
      <w:pPr>
        <w:jc w:val="both"/>
        <w:ind w:right="20" w:firstLine="757"/>
        <w:spacing w:after="0" w:line="276" w:lineRule="auto"/>
        <w:tabs>
          <w:tab w:leader="none" w:pos="1498" w:val="left"/>
        </w:tabs>
        <w:numPr>
          <w:ilvl w:val="0"/>
          <w:numId w:val="46"/>
        </w:numPr>
        <w:rPr>
          <w:rFonts w:ascii="Arial" w:cs="Arial" w:eastAsia="Arial" w:hAnsi="Arial"/>
          <w:sz w:val="20"/>
          <w:szCs w:val="20"/>
          <w:color w:val="auto"/>
        </w:rPr>
      </w:pPr>
      <w:r>
        <w:rPr>
          <w:rFonts w:ascii="Arial" w:cs="Arial" w:eastAsia="Arial" w:hAnsi="Arial"/>
          <w:sz w:val="20"/>
          <w:szCs w:val="20"/>
          <w:u w:val="single" w:color="auto"/>
          <w:color w:val="auto"/>
        </w:rPr>
        <w:t>Binding Agreement; Assignment</w:t>
      </w:r>
      <w:r>
        <w:rPr>
          <w:rFonts w:ascii="Arial" w:cs="Arial" w:eastAsia="Arial" w:hAnsi="Arial"/>
          <w:sz w:val="20"/>
          <w:szCs w:val="20"/>
          <w:color w:val="auto"/>
        </w:rPr>
        <w:t xml:space="preserve">. This Agreement shall inure to the benefit of, be binding upon, and be enforceable by the Company and its successors and assigns. The Participant shall not assign (except in accordance with </w:t>
      </w:r>
      <w:r>
        <w:rPr>
          <w:rFonts w:ascii="Arial" w:cs="Arial" w:eastAsia="Arial" w:hAnsi="Arial"/>
          <w:sz w:val="20"/>
          <w:szCs w:val="20"/>
          <w:u w:val="single" w:color="auto"/>
          <w:color w:val="auto"/>
        </w:rPr>
        <w:t>Section 6</w:t>
      </w:r>
      <w:r>
        <w:rPr>
          <w:rFonts w:ascii="Arial" w:cs="Arial" w:eastAsia="Arial" w:hAnsi="Arial"/>
          <w:sz w:val="20"/>
          <w:szCs w:val="20"/>
          <w:color w:val="auto"/>
        </w:rPr>
        <w:t xml:space="preserve"> hereof) any part of this Agreement without the prior express written consent of the Company.</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1" w:name="page82"/>
    <w:bookmarkEnd w:id="81"/>
    <w:p>
      <w:pPr>
        <w:ind w:right="20" w:firstLine="757"/>
        <w:spacing w:after="0" w:line="250" w:lineRule="auto"/>
        <w:tabs>
          <w:tab w:leader="none" w:pos="1498"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Headings</w:t>
      </w:r>
      <w:r>
        <w:rPr>
          <w:rFonts w:ascii="Arial" w:cs="Arial" w:eastAsia="Arial" w:hAnsi="Arial"/>
          <w:sz w:val="22"/>
          <w:szCs w:val="22"/>
          <w:color w:val="auto"/>
        </w:rPr>
        <w:t>. The titles and headings of the various sections of this Agreement have been inserted for convenience of reference only and shall not be deemed to be a part of this Agreement.</w:t>
      </w:r>
    </w:p>
    <w:p>
      <w:pPr>
        <w:spacing w:after="0" w:line="174" w:lineRule="exact"/>
        <w:rPr>
          <w:rFonts w:ascii="Arial" w:cs="Arial" w:eastAsia="Arial" w:hAnsi="Arial"/>
          <w:sz w:val="22"/>
          <w:szCs w:val="22"/>
          <w:color w:val="auto"/>
        </w:rPr>
      </w:pPr>
    </w:p>
    <w:p>
      <w:pPr>
        <w:ind w:firstLine="757"/>
        <w:spacing w:after="0" w:line="250" w:lineRule="auto"/>
        <w:tabs>
          <w:tab w:leader="none" w:pos="1498"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one or more counterparts, each of which shall be deemed to be an original, but all of which shall constitute one and the same instrument.</w:t>
      </w:r>
    </w:p>
    <w:p>
      <w:pPr>
        <w:spacing w:after="0" w:line="174" w:lineRule="exact"/>
        <w:rPr>
          <w:rFonts w:ascii="Arial" w:cs="Arial" w:eastAsia="Arial" w:hAnsi="Arial"/>
          <w:sz w:val="22"/>
          <w:szCs w:val="22"/>
          <w:color w:val="auto"/>
        </w:rPr>
      </w:pPr>
    </w:p>
    <w:p>
      <w:pPr>
        <w:jc w:val="both"/>
        <w:ind w:firstLine="757"/>
        <w:spacing w:after="0" w:line="237" w:lineRule="auto"/>
        <w:tabs>
          <w:tab w:leader="none" w:pos="1498"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Further Assurances</w:t>
      </w:r>
      <w:r>
        <w:rPr>
          <w:rFonts w:ascii="Arial" w:cs="Arial" w:eastAsia="Arial" w:hAnsi="Arial"/>
          <w:sz w:val="22"/>
          <w:szCs w:val="22"/>
          <w:color w:val="auto"/>
        </w:rPr>
        <w:t>. Each party hereto shall do and perform (or shall cause to be done and performed) all such further acts and shall execute and deliver all such other agreements, certificates, instruments and documents as either party hereto reasonably may request in order to carry out the intent and accomplish the purposes of this Agreement and the Plan and the consummation of the transactions contemplated thereunder.</w:t>
      </w:r>
    </w:p>
    <w:p>
      <w:pPr>
        <w:spacing w:after="0" w:line="187" w:lineRule="exact"/>
        <w:rPr>
          <w:rFonts w:ascii="Arial" w:cs="Arial" w:eastAsia="Arial" w:hAnsi="Arial"/>
          <w:sz w:val="22"/>
          <w:szCs w:val="22"/>
          <w:color w:val="auto"/>
        </w:rPr>
      </w:pPr>
    </w:p>
    <w:p>
      <w:pPr>
        <w:jc w:val="both"/>
        <w:ind w:firstLine="757"/>
        <w:spacing w:after="0" w:line="237" w:lineRule="auto"/>
        <w:tabs>
          <w:tab w:leader="none" w:pos="1498"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Severabilit</w:t>
      </w:r>
      <w:r>
        <w:rPr>
          <w:rFonts w:ascii="Arial" w:cs="Arial" w:eastAsia="Arial" w:hAnsi="Arial"/>
          <w:sz w:val="22"/>
          <w:szCs w:val="22"/>
          <w:color w:val="auto"/>
        </w:rPr>
        <w:t>y. The invalidity or unenforceability of any provisions of this Agreement in any jurisdiction shall not affect the validity, legality or enforceability of the remainder of this Agreement in such jurisdiction or the validity, legality or enforceability of any provision of this Agreement in any other jurisdiction, it being intended that all rights and obligations of the parties hereunder shall be enforceable to the fullest extent permitted by law.</w:t>
      </w:r>
    </w:p>
    <w:p>
      <w:pPr>
        <w:spacing w:after="0" w:line="187" w:lineRule="exact"/>
        <w:rPr>
          <w:rFonts w:ascii="Arial" w:cs="Arial" w:eastAsia="Arial" w:hAnsi="Arial"/>
          <w:sz w:val="22"/>
          <w:szCs w:val="22"/>
          <w:color w:val="auto"/>
        </w:rPr>
      </w:pPr>
    </w:p>
    <w:p>
      <w:pPr>
        <w:jc w:val="both"/>
        <w:ind w:firstLine="757"/>
        <w:spacing w:after="0" w:line="236" w:lineRule="auto"/>
        <w:tabs>
          <w:tab w:leader="none" w:pos="1498"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Acquired Ri</w:t>
      </w:r>
      <w:r>
        <w:rPr>
          <w:rFonts w:ascii="Arial" w:cs="Arial" w:eastAsia="Arial" w:hAnsi="Arial"/>
          <w:sz w:val="22"/>
          <w:szCs w:val="22"/>
          <w:color w:val="auto"/>
        </w:rPr>
        <w:t>g</w:t>
      </w:r>
      <w:r>
        <w:rPr>
          <w:rFonts w:ascii="Arial" w:cs="Arial" w:eastAsia="Arial" w:hAnsi="Arial"/>
          <w:sz w:val="22"/>
          <w:szCs w:val="22"/>
          <w:u w:val="single" w:color="auto"/>
          <w:color w:val="auto"/>
        </w:rPr>
        <w:t>hts</w:t>
      </w:r>
      <w:r>
        <w:rPr>
          <w:rFonts w:ascii="Arial" w:cs="Arial" w:eastAsia="Arial" w:hAnsi="Arial"/>
          <w:sz w:val="22"/>
          <w:szCs w:val="22"/>
          <w:color w:val="auto"/>
        </w:rPr>
        <w:t>. The Participant acknowledges and agrees that: (a) the Company may terminate or amend the Plan at any time, subject to the limitations contained in the Plan or this Agreement; (b) the Award of PSUs made under this Agreement is completely independent of any other award or grant and is made at the sole discretion of the Company; and (c) no past grants or awards (including, without limitation, the PSUs awarded hereunder) give the Participant any right to any grants or awards in the future whatsoever.</w:t>
      </w:r>
    </w:p>
    <w:p>
      <w:pPr>
        <w:spacing w:after="0" w:line="185" w:lineRule="exact"/>
        <w:rPr>
          <w:rFonts w:ascii="Arial" w:cs="Arial" w:eastAsia="Arial" w:hAnsi="Arial"/>
          <w:sz w:val="22"/>
          <w:szCs w:val="22"/>
          <w:color w:val="auto"/>
        </w:rPr>
      </w:pPr>
    </w:p>
    <w:p>
      <w:pPr>
        <w:jc w:val="both"/>
        <w:ind w:firstLine="757"/>
        <w:spacing w:after="0" w:line="236" w:lineRule="auto"/>
        <w:tabs>
          <w:tab w:leader="none" w:pos="1498"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Forfeiture and Claw-Back Provisions</w:t>
      </w:r>
      <w:r>
        <w:rPr>
          <w:rFonts w:ascii="Arial" w:cs="Arial" w:eastAsia="Arial" w:hAnsi="Arial"/>
          <w:sz w:val="22"/>
          <w:szCs w:val="22"/>
          <w:color w:val="auto"/>
        </w:rPr>
        <w:t>. Notwithstanding any other provision in this Agreement, all PSUs (including any proceeds, gains or other economic benefit actually or constructively received with respect thereto) shall, unless otherwise determined by the Committee or required by applicable law, be subject to the provisions of any claw-back policy implemented by the Company or otherwise required by applicable law, whether or not such claw-back policy was in place at the Grant Date and whether or not the PSUs are vested. *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2" w:name="page83"/>
    <w:bookmarkEnd w:id="82"/>
    <w:p>
      <w:pPr>
        <w:spacing w:after="0"/>
        <w:rPr>
          <w:sz w:val="20"/>
          <w:szCs w:val="20"/>
          <w:color w:val="auto"/>
        </w:rPr>
      </w:pPr>
      <w:r>
        <w:rPr>
          <w:rFonts w:ascii="Arial" w:cs="Arial" w:eastAsia="Arial" w:hAnsi="Arial"/>
          <w:sz w:val="19"/>
          <w:szCs w:val="19"/>
          <w:color w:val="auto"/>
        </w:rPr>
        <w:t>IN WITNESS WHEREOF, the parties hereto have executed this Agreement as of the date first written above.</w:t>
      </w:r>
    </w:p>
    <w:p>
      <w:pPr>
        <w:sectPr>
          <w:pgSz w:w="11900" w:h="16838" w:orient="portrait"/>
          <w:cols w:equalWidth="0" w:num="1">
            <w:col w:w="10139"/>
          </w:cols>
          <w:pgMar w:left="320" w:top="361" w:right="1440" w:bottom="1440" w:gutter="0" w:footer="0" w:header="0"/>
        </w:sectPr>
      </w:pPr>
    </w:p>
    <w:p>
      <w:pPr>
        <w:spacing w:after="0" w:line="200" w:lineRule="exact"/>
        <w:rPr>
          <w:sz w:val="20"/>
          <w:szCs w:val="20"/>
          <w:color w:val="auto"/>
        </w:rPr>
      </w:pPr>
    </w:p>
    <w:p>
      <w:pPr>
        <w:spacing w:after="0" w:line="364" w:lineRule="exact"/>
        <w:rPr>
          <w:sz w:val="20"/>
          <w:szCs w:val="20"/>
          <w:color w:val="auto"/>
        </w:rPr>
      </w:pPr>
    </w:p>
    <w:p>
      <w:pPr>
        <w:ind w:left="5240"/>
        <w:spacing w:after="0"/>
        <w:rPr>
          <w:sz w:val="20"/>
          <w:szCs w:val="20"/>
          <w:color w:val="auto"/>
        </w:rPr>
      </w:pPr>
      <w:r>
        <w:rPr>
          <w:rFonts w:ascii="Arial" w:cs="Arial" w:eastAsia="Arial" w:hAnsi="Arial"/>
          <w:sz w:val="22"/>
          <w:szCs w:val="22"/>
          <w:color w:val="auto"/>
        </w:rPr>
        <w:t>YELLOW CORPORATION</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2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3607435</wp:posOffset>
            </wp:positionH>
            <wp:positionV relativeFrom="paragraph">
              <wp:posOffset>-17780</wp:posOffset>
            </wp:positionV>
            <wp:extent cx="27368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82">
                      <a:extLst>
                        <a:ext uri="{28A0092B-C50C-407E-A947-70E740481C1C}"/>
                      </a:extLst>
                    </a:blip>
                    <a:srcRect/>
                    <a:stretch>
                      <a:fillRect/>
                    </a:stretch>
                  </pic:blipFill>
                  <pic:spPr bwMode="auto">
                    <a:xfrm>
                      <a:off x="0" y="0"/>
                      <a:ext cx="273685" cy="8255"/>
                    </a:xfrm>
                    <a:prstGeom prst="rect">
                      <a:avLst/>
                    </a:prstGeom>
                    <a:noFill/>
                  </pic:spPr>
                </pic:pic>
              </a:graphicData>
            </a:graphic>
          </wp:anchor>
        </w:drawing>
      </w:r>
    </w:p>
    <w:p>
      <w:pPr>
        <w:spacing w:after="0" w:line="212" w:lineRule="exact"/>
        <w:rPr>
          <w:sz w:val="20"/>
          <w:szCs w:val="20"/>
          <w:color w:val="auto"/>
        </w:rPr>
      </w:pPr>
    </w:p>
    <w:p>
      <w:pPr>
        <w:ind w:left="5240"/>
        <w:spacing w:after="0"/>
        <w:rPr>
          <w:sz w:val="20"/>
          <w:szCs w:val="20"/>
          <w:color w:val="auto"/>
        </w:rPr>
      </w:pPr>
      <w:r>
        <w:rPr>
          <w:rFonts w:ascii="Arial" w:cs="Arial" w:eastAsia="Arial" w:hAnsi="Arial"/>
          <w:sz w:val="19"/>
          <w:szCs w:val="19"/>
          <w:color w:val="auto"/>
        </w:rPr>
        <w:t>Name: ___________________</w:t>
      </w:r>
    </w:p>
    <w:p>
      <w:pPr>
        <w:spacing w:after="0" w:line="267" w:lineRule="exact"/>
        <w:rPr>
          <w:sz w:val="20"/>
          <w:szCs w:val="20"/>
          <w:color w:val="auto"/>
        </w:rPr>
      </w:pPr>
    </w:p>
    <w:p>
      <w:pPr>
        <w:ind w:left="5240"/>
        <w:spacing w:after="0"/>
        <w:rPr>
          <w:sz w:val="20"/>
          <w:szCs w:val="20"/>
          <w:color w:val="auto"/>
        </w:rPr>
      </w:pPr>
      <w:r>
        <w:rPr>
          <w:rFonts w:ascii="Arial" w:cs="Arial" w:eastAsia="Arial" w:hAnsi="Arial"/>
          <w:sz w:val="20"/>
          <w:szCs w:val="20"/>
          <w:color w:val="auto"/>
        </w:rPr>
        <w:t>Title: 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240"/>
        <w:spacing w:after="0"/>
        <w:rPr>
          <w:sz w:val="20"/>
          <w:szCs w:val="20"/>
          <w:color w:val="auto"/>
        </w:rPr>
      </w:pPr>
      <w:r>
        <w:rPr>
          <w:rFonts w:ascii="Arial" w:cs="Arial" w:eastAsia="Arial" w:hAnsi="Arial"/>
          <w:sz w:val="22"/>
          <w:szCs w:val="22"/>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2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-17780</wp:posOffset>
            </wp:positionV>
            <wp:extent cx="27368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84">
                      <a:extLst>
                        <a:ext uri="{28A0092B-C50C-407E-A947-70E740481C1C}"/>
                      </a:extLst>
                    </a:blip>
                    <a:srcRect/>
                    <a:stretch>
                      <a:fillRect/>
                    </a:stretch>
                  </pic:blipFill>
                  <pic:spPr bwMode="auto">
                    <a:xfrm>
                      <a:off x="0" y="0"/>
                      <a:ext cx="273685" cy="8255"/>
                    </a:xfrm>
                    <a:prstGeom prst="rect">
                      <a:avLst/>
                    </a:prstGeom>
                    <a:noFill/>
                  </pic:spPr>
                </pic:pic>
              </a:graphicData>
            </a:graphic>
          </wp:anchor>
        </w:drawing>
      </w:r>
    </w:p>
    <w:p>
      <w:pPr>
        <w:sectPr>
          <w:pgSz w:w="11900" w:h="16838" w:orient="portrait"/>
          <w:cols w:equalWidth="0" w:num="1">
            <w:col w:w="10139"/>
          </w:cols>
          <w:pgMar w:left="320" w:top="361" w:right="1440" w:bottom="1440" w:gutter="0" w:footer="0" w:header="0"/>
          <w:type w:val="continuous"/>
        </w:sectPr>
      </w:pPr>
    </w:p>
    <w:bookmarkStart w:id="83" w:name="page84"/>
    <w:bookmarkEnd w:id="83"/>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5140" w:type="dxa"/>
            <w:vAlign w:val="bottom"/>
            <w:vMerge w:val="restart"/>
          </w:tcPr>
          <w:p>
            <w:pPr>
              <w:jc w:val="center"/>
              <w:ind w:right="2270"/>
              <w:spacing w:after="0"/>
              <w:rPr>
                <w:sz w:val="20"/>
                <w:szCs w:val="20"/>
                <w:color w:val="auto"/>
              </w:rPr>
            </w:pPr>
            <w:r>
              <w:rPr>
                <w:rFonts w:ascii="Arial" w:cs="Arial" w:eastAsia="Arial" w:hAnsi="Arial"/>
                <w:sz w:val="18"/>
                <w:szCs w:val="18"/>
                <w:color w:val="auto"/>
                <w:w w:val="92"/>
              </w:rPr>
              <w:t>Subsidiaries of Yellow Corporation</w:t>
            </w:r>
          </w:p>
        </w:tc>
        <w:tc>
          <w:tcPr>
            <w:tcW w:w="1860" w:type="dxa"/>
            <w:vAlign w:val="bottom"/>
          </w:tcPr>
          <w:p>
            <w:pPr>
              <w:ind w:left="740"/>
              <w:spacing w:after="0"/>
              <w:rPr>
                <w:sz w:val="20"/>
                <w:szCs w:val="20"/>
                <w:color w:val="auto"/>
              </w:rPr>
            </w:pPr>
            <w:r>
              <w:rPr>
                <w:rFonts w:ascii="Arial" w:cs="Arial" w:eastAsia="Arial" w:hAnsi="Arial"/>
                <w:sz w:val="18"/>
                <w:szCs w:val="18"/>
                <w:b w:val="1"/>
                <w:bCs w:val="1"/>
                <w:color w:val="auto"/>
                <w:w w:val="99"/>
              </w:rPr>
              <w:t>EXHIBIT 21.1</w:t>
            </w:r>
          </w:p>
        </w:tc>
        <w:tc>
          <w:tcPr>
            <w:tcW w:w="0" w:type="dxa"/>
            <w:vAlign w:val="bottom"/>
          </w:tcPr>
          <w:p>
            <w:pPr>
              <w:spacing w:after="0"/>
              <w:rPr>
                <w:sz w:val="1"/>
                <w:szCs w:val="1"/>
                <w:color w:val="auto"/>
              </w:rPr>
            </w:pPr>
          </w:p>
        </w:tc>
      </w:tr>
      <w:tr>
        <w:trPr>
          <w:trHeight w:val="201"/>
        </w:trPr>
        <w:tc>
          <w:tcPr>
            <w:tcW w:w="4240" w:type="dxa"/>
            <w:vAlign w:val="bottom"/>
          </w:tcPr>
          <w:p>
            <w:pPr>
              <w:spacing w:after="0"/>
              <w:rPr>
                <w:sz w:val="17"/>
                <w:szCs w:val="17"/>
                <w:color w:val="auto"/>
              </w:rPr>
            </w:pPr>
          </w:p>
        </w:tc>
        <w:tc>
          <w:tcPr>
            <w:tcW w:w="5140" w:type="dxa"/>
            <w:vAlign w:val="bottom"/>
            <w:vMerge w:val="continue"/>
          </w:tcPr>
          <w:p>
            <w:pPr>
              <w:spacing w:after="0"/>
              <w:rPr>
                <w:sz w:val="17"/>
                <w:szCs w:val="17"/>
                <w:color w:val="auto"/>
              </w:rPr>
            </w:pPr>
          </w:p>
        </w:tc>
        <w:tc>
          <w:tcPr>
            <w:tcW w:w="1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p>
        </w:tc>
        <w:tc>
          <w:tcPr>
            <w:tcW w:w="5140" w:type="dxa"/>
            <w:vAlign w:val="bottom"/>
          </w:tcPr>
          <w:p>
            <w:pPr>
              <w:jc w:val="center"/>
              <w:ind w:right="2290"/>
              <w:spacing w:after="0"/>
              <w:rPr>
                <w:sz w:val="20"/>
                <w:szCs w:val="20"/>
                <w:color w:val="auto"/>
              </w:rPr>
            </w:pPr>
            <w:r>
              <w:rPr>
                <w:rFonts w:ascii="Arial" w:cs="Arial" w:eastAsia="Arial" w:hAnsi="Arial"/>
                <w:sz w:val="18"/>
                <w:szCs w:val="18"/>
                <w:color w:val="auto"/>
                <w:w w:val="91"/>
              </w:rPr>
              <w:t>At December 31, 2022</w:t>
            </w:r>
          </w:p>
        </w:tc>
        <w:tc>
          <w:tcPr>
            <w:tcW w:w="1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3"/>
        </w:trPr>
        <w:tc>
          <w:tcPr>
            <w:tcW w:w="424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860" w:type="dxa"/>
            <w:vAlign w:val="bottom"/>
          </w:tcPr>
          <w:p>
            <w:pPr>
              <w:jc w:val="center"/>
              <w:ind w:left="50"/>
              <w:spacing w:after="0"/>
              <w:rPr>
                <w:sz w:val="20"/>
                <w:szCs w:val="20"/>
                <w:color w:val="auto"/>
              </w:rPr>
            </w:pPr>
            <w:r>
              <w:rPr>
                <w:rFonts w:ascii="Arial" w:cs="Arial" w:eastAsia="Arial" w:hAnsi="Arial"/>
                <w:sz w:val="18"/>
                <w:szCs w:val="18"/>
                <w:b w:val="1"/>
                <w:bCs w:val="1"/>
                <w:color w:val="auto"/>
                <w:w w:val="90"/>
              </w:rPr>
              <w:t>Jurisdiction of</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5140" w:type="dxa"/>
            <w:vAlign w:val="bottom"/>
          </w:tcPr>
          <w:p>
            <w:pPr>
              <w:ind w:left="3940"/>
              <w:spacing w:after="0"/>
              <w:rPr>
                <w:sz w:val="20"/>
                <w:szCs w:val="20"/>
                <w:color w:val="auto"/>
              </w:rPr>
            </w:pPr>
            <w:r>
              <w:rPr>
                <w:rFonts w:ascii="Arial" w:cs="Arial" w:eastAsia="Arial" w:hAnsi="Arial"/>
                <w:sz w:val="18"/>
                <w:szCs w:val="18"/>
                <w:b w:val="1"/>
                <w:bCs w:val="1"/>
                <w:color w:val="auto"/>
              </w:rPr>
              <w:t>Percentage</w:t>
            </w:r>
          </w:p>
        </w:tc>
        <w:tc>
          <w:tcPr>
            <w:tcW w:w="1860" w:type="dxa"/>
            <w:vAlign w:val="bottom"/>
          </w:tcPr>
          <w:p>
            <w:pPr>
              <w:jc w:val="center"/>
              <w:ind w:left="50"/>
              <w:spacing w:after="0"/>
              <w:rPr>
                <w:sz w:val="20"/>
                <w:szCs w:val="20"/>
                <w:color w:val="auto"/>
              </w:rPr>
            </w:pPr>
            <w:r>
              <w:rPr>
                <w:rFonts w:ascii="Arial" w:cs="Arial" w:eastAsia="Arial" w:hAnsi="Arial"/>
                <w:sz w:val="18"/>
                <w:szCs w:val="18"/>
                <w:b w:val="1"/>
                <w:bCs w:val="1"/>
                <w:color w:val="auto"/>
                <w:w w:val="92"/>
              </w:rPr>
              <w:t>Incorporation or</w:t>
            </w:r>
          </w:p>
        </w:tc>
        <w:tc>
          <w:tcPr>
            <w:tcW w:w="0" w:type="dxa"/>
            <w:vAlign w:val="bottom"/>
          </w:tcPr>
          <w:p>
            <w:pPr>
              <w:spacing w:after="0"/>
              <w:rPr>
                <w:sz w:val="1"/>
                <w:szCs w:val="1"/>
                <w:color w:val="auto"/>
              </w:rPr>
            </w:pPr>
          </w:p>
        </w:tc>
      </w:tr>
      <w:tr>
        <w:trPr>
          <w:trHeight w:val="241"/>
        </w:trPr>
        <w:tc>
          <w:tcPr>
            <w:tcW w:w="4240" w:type="dxa"/>
            <w:vAlign w:val="bottom"/>
            <w:tcBorders>
              <w:bottom w:val="single" w:sz="8" w:color="auto"/>
            </w:tcBorders>
          </w:tcPr>
          <w:p>
            <w:pPr>
              <w:ind w:left="3680"/>
              <w:spacing w:after="0"/>
              <w:rPr>
                <w:sz w:val="20"/>
                <w:szCs w:val="20"/>
                <w:color w:val="auto"/>
              </w:rPr>
            </w:pPr>
            <w:r>
              <w:rPr>
                <w:rFonts w:ascii="Arial" w:cs="Arial" w:eastAsia="Arial" w:hAnsi="Arial"/>
                <w:sz w:val="18"/>
                <w:szCs w:val="18"/>
                <w:b w:val="1"/>
                <w:bCs w:val="1"/>
                <w:color w:val="auto"/>
              </w:rPr>
              <w:t>Name</w:t>
            </w:r>
          </w:p>
        </w:tc>
        <w:tc>
          <w:tcPr>
            <w:tcW w:w="5140" w:type="dxa"/>
            <w:vAlign w:val="bottom"/>
            <w:tcBorders>
              <w:bottom w:val="single" w:sz="8" w:color="auto"/>
            </w:tcBorders>
          </w:tcPr>
          <w:p>
            <w:pPr>
              <w:ind w:left="3940"/>
              <w:spacing w:after="0"/>
              <w:rPr>
                <w:sz w:val="20"/>
                <w:szCs w:val="20"/>
                <w:color w:val="auto"/>
              </w:rPr>
            </w:pPr>
            <w:r>
              <w:rPr>
                <w:rFonts w:ascii="Arial" w:cs="Arial" w:eastAsia="Arial" w:hAnsi="Arial"/>
                <w:sz w:val="18"/>
                <w:szCs w:val="18"/>
                <w:b w:val="1"/>
                <w:bCs w:val="1"/>
                <w:color w:val="auto"/>
              </w:rPr>
              <w:t>Ownership</w:t>
            </w:r>
          </w:p>
        </w:tc>
        <w:tc>
          <w:tcPr>
            <w:tcW w:w="186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93"/>
              </w:rPr>
              <w:t>Formation</w:t>
            </w:r>
          </w:p>
        </w:tc>
        <w:tc>
          <w:tcPr>
            <w:tcW w:w="0" w:type="dxa"/>
            <w:vAlign w:val="bottom"/>
          </w:tcPr>
          <w:p>
            <w:pPr>
              <w:spacing w:after="0"/>
              <w:rPr>
                <w:sz w:val="1"/>
                <w:szCs w:val="1"/>
                <w:color w:val="auto"/>
              </w:rPr>
            </w:pPr>
          </w:p>
        </w:tc>
      </w:tr>
    </w:tbl>
    <w:p>
      <w:pPr>
        <w:spacing w:after="0" w:line="94" w:lineRule="exact"/>
        <w:rPr>
          <w:sz w:val="20"/>
          <w:szCs w:val="20"/>
          <w:color w:val="auto"/>
        </w:rPr>
      </w:pPr>
    </w:p>
    <w:p>
      <w:pPr>
        <w:sectPr>
          <w:pgSz w:w="11900" w:h="16838" w:orient="portrait"/>
          <w:cols w:equalWidth="0" w:num="1">
            <w:col w:w="11240"/>
          </w:cols>
          <w:pgMar w:left="320" w:top="337" w:right="339" w:bottom="0" w:gutter="0" w:footer="0" w:header="0"/>
        </w:sectPr>
      </w:pPr>
    </w:p>
    <w:p>
      <w:pPr>
        <w:spacing w:after="0" w:line="10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1105481 Ontario, Inc.</w:t>
      </w:r>
    </w:p>
    <w:p>
      <w:pPr>
        <w:spacing w:after="0" w:line="2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Express Lane Service, Inc.</w:t>
      </w:r>
    </w:p>
    <w:p>
      <w:pPr>
        <w:spacing w:after="0" w:line="2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New Penn Motor Express LLC</w:t>
      </w:r>
    </w:p>
    <w:p>
      <w:pPr>
        <w:spacing w:after="0" w:line="2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OPK Insurance Co. Ltd.</w:t>
      </w:r>
    </w:p>
    <w:p>
      <w:pPr>
        <w:spacing w:after="0" w:line="2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Roadway LLC</w:t>
      </w:r>
    </w:p>
    <w:p>
      <w:pPr>
        <w:spacing w:after="0" w:line="23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Roadway Next Day Corporation</w:t>
      </w:r>
    </w:p>
    <w:p>
      <w:pPr>
        <w:spacing w:after="0" w:line="23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YRC Inc.</w:t>
      </w:r>
    </w:p>
    <w:p>
      <w:pPr>
        <w:spacing w:after="0" w:line="23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Reimer Holding B.V.</w:t>
      </w:r>
    </w:p>
    <w:p>
      <w:pPr>
        <w:spacing w:after="0" w:line="23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YRC Freight Canada Company</w:t>
      </w:r>
    </w:p>
    <w:p>
      <w:pPr>
        <w:spacing w:after="0" w:line="23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YRC Transportation, S.A. de C.V.</w:t>
      </w:r>
    </w:p>
    <w:p>
      <w:pPr>
        <w:spacing w:after="0" w:line="23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Roadway Express International, Inc.</w:t>
      </w:r>
    </w:p>
    <w:p>
      <w:pPr>
        <w:spacing w:after="0" w:line="238"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Transcontinental Lease, S. de R.L. de C.V.</w:t>
      </w:r>
    </w:p>
    <w:p>
      <w:pPr>
        <w:spacing w:after="0" w:line="26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Roadway Express, S.A. de C.V.</w:t>
      </w:r>
    </w:p>
    <w:p>
      <w:pPr>
        <w:spacing w:after="0" w:line="23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Yellow Logistics, Inc.</w:t>
      </w:r>
    </w:p>
    <w:p>
      <w:pPr>
        <w:spacing w:after="0" w:line="23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Transcontinental Lease, S. de R.L. de C.V.</w:t>
      </w:r>
    </w:p>
    <w:p>
      <w:pPr>
        <w:spacing w:after="0" w:line="23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Roadway Express, S.A. de C.V.</w:t>
      </w:r>
    </w:p>
    <w:p>
      <w:pPr>
        <w:spacing w:after="0" w:line="23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YRC Transportation, S.A. de C.V.</w:t>
      </w:r>
    </w:p>
    <w:p>
      <w:pPr>
        <w:spacing w:after="0" w:line="23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YRC Services S. de R.L. de C.V.</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Yellow Freight Corporation</w:t>
      </w:r>
    </w:p>
    <w:p>
      <w:pPr>
        <w:spacing w:after="0" w:line="237" w:lineRule="exact"/>
        <w:rPr>
          <w:sz w:val="20"/>
          <w:szCs w:val="20"/>
          <w:color w:val="auto"/>
        </w:rPr>
      </w:pPr>
    </w:p>
    <w:p>
      <w:pPr>
        <w:ind w:left="20"/>
        <w:spacing w:after="0"/>
        <w:rPr>
          <w:sz w:val="20"/>
          <w:szCs w:val="20"/>
          <w:color w:val="auto"/>
        </w:rPr>
      </w:pPr>
      <w:r>
        <w:rPr>
          <w:rFonts w:ascii="Arial" w:cs="Arial" w:eastAsia="Arial" w:hAnsi="Arial"/>
          <w:sz w:val="18"/>
          <w:szCs w:val="18"/>
          <w:color w:val="auto"/>
        </w:rPr>
        <w:t>USF Holland LLC</w:t>
      </w:r>
    </w:p>
    <w:p>
      <w:pPr>
        <w:spacing w:after="0" w:line="23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USF Holland International Sales Corporation</w:t>
      </w:r>
    </w:p>
    <w:p>
      <w:pPr>
        <w:spacing w:after="0" w:line="2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YRC Association Solutions, Inc.</w:t>
      </w:r>
    </w:p>
    <w:p>
      <w:pPr>
        <w:spacing w:after="0" w:line="2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YRC International Investments, Inc.</w:t>
      </w:r>
    </w:p>
    <w:p>
      <w:pPr>
        <w:spacing w:after="0" w:line="2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YRC Logistics Asia Limited</w:t>
      </w:r>
    </w:p>
    <w:p>
      <w:pPr>
        <w:spacing w:after="0" w:line="23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PT Meridian IQ Indonesia International</w:t>
      </w:r>
    </w:p>
    <w:p>
      <w:pPr>
        <w:spacing w:after="0" w:line="2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YRC Mortgages, LLC</w:t>
      </w:r>
    </w:p>
    <w:p>
      <w:pPr>
        <w:spacing w:after="0" w:line="2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YRC Regional Transportation, Inc.</w:t>
      </w:r>
    </w:p>
    <w:p>
      <w:pPr>
        <w:spacing w:after="0" w:line="23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USF Bestway Inc.</w:t>
      </w:r>
    </w:p>
    <w:p>
      <w:pPr>
        <w:spacing w:after="0" w:line="23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USF Dugan Inc.</w:t>
      </w:r>
    </w:p>
    <w:p>
      <w:pPr>
        <w:spacing w:after="0" w:line="23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USF Reddaway Inc.</w:t>
      </w:r>
    </w:p>
    <w:p>
      <w:pPr>
        <w:spacing w:after="0" w:line="23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USF RedStar LLC</w:t>
      </w:r>
    </w:p>
    <w:p>
      <w:pPr>
        <w:spacing w:after="0" w:line="23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YRC Logistics Services, Inc.</w:t>
      </w:r>
    </w:p>
    <w:p>
      <w:pPr>
        <w:spacing w:after="0" w:line="23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YRC Logistics Inc.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YRC Enterprise Services, Inc.</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100%</w:t>
            </w:r>
          </w:p>
        </w:tc>
        <w:tc>
          <w:tcPr>
            <w:tcW w:w="1420" w:type="dxa"/>
            <w:vAlign w:val="bottom"/>
          </w:tcPr>
          <w:p>
            <w:pPr>
              <w:ind w:left="520"/>
              <w:spacing w:after="0"/>
              <w:rPr>
                <w:sz w:val="20"/>
                <w:szCs w:val="20"/>
                <w:color w:val="auto"/>
              </w:rPr>
            </w:pPr>
            <w:r>
              <w:rPr>
                <w:rFonts w:ascii="Arial" w:cs="Arial" w:eastAsia="Arial" w:hAnsi="Arial"/>
                <w:sz w:val="18"/>
                <w:szCs w:val="18"/>
                <w:color w:val="auto"/>
              </w:rPr>
              <w:t>Ontario</w:t>
            </w:r>
          </w:p>
        </w:tc>
      </w:tr>
      <w:tr>
        <w:trPr>
          <w:trHeight w:val="445"/>
        </w:trPr>
        <w:tc>
          <w:tcPr>
            <w:tcW w:w="1200" w:type="dxa"/>
            <w:vAlign w:val="bottom"/>
          </w:tcPr>
          <w:p>
            <w:pPr>
              <w:spacing w:after="0"/>
              <w:rPr>
                <w:sz w:val="20"/>
                <w:szCs w:val="20"/>
                <w:color w:val="auto"/>
              </w:rPr>
            </w:pPr>
            <w:r>
              <w:rPr>
                <w:rFonts w:ascii="Arial" w:cs="Arial" w:eastAsia="Arial" w:hAnsi="Arial"/>
                <w:sz w:val="18"/>
                <w:szCs w:val="18"/>
                <w:color w:val="auto"/>
              </w:rPr>
              <w:t>100%</w:t>
            </w:r>
          </w:p>
        </w:tc>
        <w:tc>
          <w:tcPr>
            <w:tcW w:w="1420" w:type="dxa"/>
            <w:vAlign w:val="bottom"/>
          </w:tcPr>
          <w:p>
            <w:pPr>
              <w:ind w:left="520"/>
              <w:spacing w:after="0"/>
              <w:rPr>
                <w:sz w:val="20"/>
                <w:szCs w:val="20"/>
                <w:color w:val="auto"/>
              </w:rPr>
            </w:pPr>
            <w:r>
              <w:rPr>
                <w:rFonts w:ascii="Arial" w:cs="Arial" w:eastAsia="Arial" w:hAnsi="Arial"/>
                <w:sz w:val="18"/>
                <w:szCs w:val="18"/>
                <w:color w:val="auto"/>
              </w:rPr>
              <w:t>Delaware</w:t>
            </w:r>
          </w:p>
        </w:tc>
      </w:tr>
      <w:tr>
        <w:trPr>
          <w:trHeight w:val="445"/>
        </w:trPr>
        <w:tc>
          <w:tcPr>
            <w:tcW w:w="1200" w:type="dxa"/>
            <w:vAlign w:val="bottom"/>
          </w:tcPr>
          <w:p>
            <w:pPr>
              <w:spacing w:after="0"/>
              <w:rPr>
                <w:sz w:val="20"/>
                <w:szCs w:val="20"/>
                <w:color w:val="auto"/>
              </w:rPr>
            </w:pPr>
            <w:r>
              <w:rPr>
                <w:rFonts w:ascii="Arial" w:cs="Arial" w:eastAsia="Arial" w:hAnsi="Arial"/>
                <w:sz w:val="18"/>
                <w:szCs w:val="18"/>
                <w:color w:val="auto"/>
              </w:rPr>
              <w:t>100%</w:t>
            </w:r>
          </w:p>
        </w:tc>
        <w:tc>
          <w:tcPr>
            <w:tcW w:w="1420" w:type="dxa"/>
            <w:vAlign w:val="bottom"/>
          </w:tcPr>
          <w:p>
            <w:pPr>
              <w:ind w:left="520"/>
              <w:spacing w:after="0"/>
              <w:rPr>
                <w:sz w:val="20"/>
                <w:szCs w:val="20"/>
                <w:color w:val="auto"/>
              </w:rPr>
            </w:pPr>
            <w:r>
              <w:rPr>
                <w:rFonts w:ascii="Arial" w:cs="Arial" w:eastAsia="Arial" w:hAnsi="Arial"/>
                <w:sz w:val="18"/>
                <w:szCs w:val="18"/>
                <w:color w:val="auto"/>
              </w:rPr>
              <w:t>Delaware</w:t>
            </w:r>
          </w:p>
        </w:tc>
      </w:tr>
      <w:tr>
        <w:trPr>
          <w:trHeight w:val="445"/>
        </w:trPr>
        <w:tc>
          <w:tcPr>
            <w:tcW w:w="1200" w:type="dxa"/>
            <w:vAlign w:val="bottom"/>
          </w:tcPr>
          <w:p>
            <w:pPr>
              <w:spacing w:after="0"/>
              <w:rPr>
                <w:sz w:val="20"/>
                <w:szCs w:val="20"/>
                <w:color w:val="auto"/>
              </w:rPr>
            </w:pPr>
            <w:r>
              <w:rPr>
                <w:rFonts w:ascii="Arial" w:cs="Arial" w:eastAsia="Arial" w:hAnsi="Arial"/>
                <w:sz w:val="18"/>
                <w:szCs w:val="18"/>
                <w:color w:val="auto"/>
              </w:rPr>
              <w:t>100%</w:t>
            </w:r>
          </w:p>
        </w:tc>
        <w:tc>
          <w:tcPr>
            <w:tcW w:w="1420" w:type="dxa"/>
            <w:vAlign w:val="bottom"/>
          </w:tcPr>
          <w:p>
            <w:pPr>
              <w:ind w:left="520"/>
              <w:spacing w:after="0"/>
              <w:rPr>
                <w:sz w:val="20"/>
                <w:szCs w:val="20"/>
                <w:color w:val="auto"/>
              </w:rPr>
            </w:pPr>
            <w:r>
              <w:rPr>
                <w:rFonts w:ascii="Arial" w:cs="Arial" w:eastAsia="Arial" w:hAnsi="Arial"/>
                <w:sz w:val="18"/>
                <w:szCs w:val="18"/>
                <w:color w:val="auto"/>
              </w:rPr>
              <w:t>Bermuda</w:t>
            </w:r>
          </w:p>
        </w:tc>
      </w:tr>
      <w:tr>
        <w:trPr>
          <w:trHeight w:val="445"/>
        </w:trPr>
        <w:tc>
          <w:tcPr>
            <w:tcW w:w="1200" w:type="dxa"/>
            <w:vAlign w:val="bottom"/>
          </w:tcPr>
          <w:p>
            <w:pPr>
              <w:spacing w:after="0"/>
              <w:rPr>
                <w:sz w:val="20"/>
                <w:szCs w:val="20"/>
                <w:color w:val="auto"/>
              </w:rPr>
            </w:pPr>
            <w:r>
              <w:rPr>
                <w:rFonts w:ascii="Arial" w:cs="Arial" w:eastAsia="Arial" w:hAnsi="Arial"/>
                <w:sz w:val="18"/>
                <w:szCs w:val="18"/>
                <w:color w:val="auto"/>
              </w:rPr>
              <w:t>100%</w:t>
            </w:r>
          </w:p>
        </w:tc>
        <w:tc>
          <w:tcPr>
            <w:tcW w:w="1420" w:type="dxa"/>
            <w:vAlign w:val="bottom"/>
          </w:tcPr>
          <w:p>
            <w:pPr>
              <w:ind w:left="520"/>
              <w:spacing w:after="0"/>
              <w:rPr>
                <w:sz w:val="20"/>
                <w:szCs w:val="20"/>
                <w:color w:val="auto"/>
              </w:rPr>
            </w:pPr>
            <w:r>
              <w:rPr>
                <w:rFonts w:ascii="Arial" w:cs="Arial" w:eastAsia="Arial" w:hAnsi="Arial"/>
                <w:sz w:val="18"/>
                <w:szCs w:val="18"/>
                <w:color w:val="auto"/>
              </w:rPr>
              <w:t>Delaware</w:t>
            </w:r>
          </w:p>
        </w:tc>
      </w:tr>
      <w:tr>
        <w:trPr>
          <w:trHeight w:val="445"/>
        </w:trPr>
        <w:tc>
          <w:tcPr>
            <w:tcW w:w="1200" w:type="dxa"/>
            <w:vAlign w:val="bottom"/>
          </w:tcPr>
          <w:p>
            <w:pPr>
              <w:spacing w:after="0"/>
              <w:rPr>
                <w:sz w:val="20"/>
                <w:szCs w:val="20"/>
                <w:color w:val="auto"/>
              </w:rPr>
            </w:pPr>
            <w:r>
              <w:rPr>
                <w:rFonts w:ascii="Arial" w:cs="Arial" w:eastAsia="Arial" w:hAnsi="Arial"/>
                <w:sz w:val="18"/>
                <w:szCs w:val="18"/>
                <w:color w:val="auto"/>
              </w:rPr>
              <w:t>100%</w:t>
            </w:r>
          </w:p>
        </w:tc>
        <w:tc>
          <w:tcPr>
            <w:tcW w:w="1420" w:type="dxa"/>
            <w:vAlign w:val="bottom"/>
          </w:tcPr>
          <w:p>
            <w:pPr>
              <w:ind w:left="520"/>
              <w:spacing w:after="0"/>
              <w:rPr>
                <w:sz w:val="20"/>
                <w:szCs w:val="20"/>
                <w:color w:val="auto"/>
              </w:rPr>
            </w:pPr>
            <w:r>
              <w:rPr>
                <w:rFonts w:ascii="Arial" w:cs="Arial" w:eastAsia="Arial" w:hAnsi="Arial"/>
                <w:sz w:val="18"/>
                <w:szCs w:val="18"/>
                <w:color w:val="auto"/>
              </w:rPr>
              <w:t>Delaware</w:t>
            </w:r>
          </w:p>
        </w:tc>
      </w:tr>
      <w:tr>
        <w:trPr>
          <w:trHeight w:val="445"/>
        </w:trPr>
        <w:tc>
          <w:tcPr>
            <w:tcW w:w="1200" w:type="dxa"/>
            <w:vAlign w:val="bottom"/>
          </w:tcPr>
          <w:p>
            <w:pPr>
              <w:spacing w:after="0"/>
              <w:rPr>
                <w:sz w:val="20"/>
                <w:szCs w:val="20"/>
                <w:color w:val="auto"/>
              </w:rPr>
            </w:pPr>
            <w:r>
              <w:rPr>
                <w:rFonts w:ascii="Arial" w:cs="Arial" w:eastAsia="Arial" w:hAnsi="Arial"/>
                <w:sz w:val="18"/>
                <w:szCs w:val="18"/>
                <w:color w:val="auto"/>
              </w:rPr>
              <w:t>100%</w:t>
            </w:r>
          </w:p>
        </w:tc>
        <w:tc>
          <w:tcPr>
            <w:tcW w:w="1420" w:type="dxa"/>
            <w:vAlign w:val="bottom"/>
          </w:tcPr>
          <w:p>
            <w:pPr>
              <w:ind w:left="520"/>
              <w:spacing w:after="0"/>
              <w:rPr>
                <w:sz w:val="20"/>
                <w:szCs w:val="20"/>
                <w:color w:val="auto"/>
              </w:rPr>
            </w:pPr>
            <w:r>
              <w:rPr>
                <w:rFonts w:ascii="Arial" w:cs="Arial" w:eastAsia="Arial" w:hAnsi="Arial"/>
                <w:sz w:val="18"/>
                <w:szCs w:val="18"/>
                <w:color w:val="auto"/>
              </w:rPr>
              <w:t>Delaware</w:t>
            </w:r>
          </w:p>
        </w:tc>
      </w:tr>
      <w:tr>
        <w:trPr>
          <w:trHeight w:val="445"/>
        </w:trPr>
        <w:tc>
          <w:tcPr>
            <w:tcW w:w="1200" w:type="dxa"/>
            <w:vAlign w:val="bottom"/>
          </w:tcPr>
          <w:p>
            <w:pPr>
              <w:spacing w:after="0"/>
              <w:rPr>
                <w:sz w:val="20"/>
                <w:szCs w:val="20"/>
                <w:color w:val="auto"/>
              </w:rPr>
            </w:pPr>
            <w:r>
              <w:rPr>
                <w:rFonts w:ascii="Arial" w:cs="Arial" w:eastAsia="Arial" w:hAnsi="Arial"/>
                <w:sz w:val="18"/>
                <w:szCs w:val="18"/>
                <w:color w:val="auto"/>
              </w:rPr>
              <w:t>100%</w:t>
            </w:r>
          </w:p>
        </w:tc>
        <w:tc>
          <w:tcPr>
            <w:tcW w:w="1420" w:type="dxa"/>
            <w:vAlign w:val="bottom"/>
          </w:tcPr>
          <w:p>
            <w:pPr>
              <w:ind w:left="520"/>
              <w:spacing w:after="0"/>
              <w:rPr>
                <w:sz w:val="20"/>
                <w:szCs w:val="20"/>
                <w:color w:val="auto"/>
              </w:rPr>
            </w:pPr>
            <w:r>
              <w:rPr>
                <w:rFonts w:ascii="Arial" w:cs="Arial" w:eastAsia="Arial" w:hAnsi="Arial"/>
                <w:sz w:val="18"/>
                <w:szCs w:val="18"/>
                <w:color w:val="auto"/>
                <w:w w:val="90"/>
              </w:rPr>
              <w:t>Netherlands</w:t>
            </w:r>
          </w:p>
        </w:tc>
      </w:tr>
      <w:tr>
        <w:trPr>
          <w:trHeight w:val="445"/>
        </w:trPr>
        <w:tc>
          <w:tcPr>
            <w:tcW w:w="1200" w:type="dxa"/>
            <w:vAlign w:val="bottom"/>
          </w:tcPr>
          <w:p>
            <w:pPr>
              <w:spacing w:after="0"/>
              <w:rPr>
                <w:sz w:val="20"/>
                <w:szCs w:val="20"/>
                <w:color w:val="auto"/>
              </w:rPr>
            </w:pPr>
            <w:r>
              <w:rPr>
                <w:rFonts w:ascii="Arial" w:cs="Arial" w:eastAsia="Arial" w:hAnsi="Arial"/>
                <w:sz w:val="18"/>
                <w:szCs w:val="18"/>
                <w:color w:val="auto"/>
              </w:rPr>
              <w:t>100%</w:t>
            </w:r>
          </w:p>
        </w:tc>
        <w:tc>
          <w:tcPr>
            <w:tcW w:w="1420" w:type="dxa"/>
            <w:vAlign w:val="bottom"/>
          </w:tcPr>
          <w:p>
            <w:pPr>
              <w:ind w:left="520"/>
              <w:spacing w:after="0"/>
              <w:rPr>
                <w:sz w:val="20"/>
                <w:szCs w:val="20"/>
                <w:color w:val="auto"/>
              </w:rPr>
            </w:pPr>
            <w:r>
              <w:rPr>
                <w:rFonts w:ascii="Arial" w:cs="Arial" w:eastAsia="Arial" w:hAnsi="Arial"/>
                <w:sz w:val="18"/>
                <w:szCs w:val="18"/>
                <w:color w:val="auto"/>
                <w:w w:val="90"/>
              </w:rPr>
              <w:t>Nova Scotia</w:t>
            </w:r>
          </w:p>
        </w:tc>
      </w:tr>
      <w:tr>
        <w:trPr>
          <w:trHeight w:val="507"/>
        </w:trPr>
        <w:tc>
          <w:tcPr>
            <w:tcW w:w="1200" w:type="dxa"/>
            <w:vAlign w:val="bottom"/>
          </w:tcPr>
          <w:p>
            <w:pPr>
              <w:spacing w:after="0"/>
              <w:rPr>
                <w:sz w:val="20"/>
                <w:szCs w:val="20"/>
                <w:color w:val="auto"/>
              </w:rPr>
            </w:pPr>
            <w:r>
              <w:rPr>
                <w:rFonts w:ascii="Arial" w:cs="Arial" w:eastAsia="Arial" w:hAnsi="Arial"/>
                <w:sz w:val="18"/>
                <w:szCs w:val="18"/>
                <w:color w:val="auto"/>
              </w:rPr>
              <w:t xml:space="preserve">41.1% </w:t>
            </w:r>
            <w:r>
              <w:rPr>
                <w:rFonts w:ascii="Arial" w:cs="Arial" w:eastAsia="Arial" w:hAnsi="Arial"/>
                <w:sz w:val="24"/>
                <w:szCs w:val="24"/>
                <w:color w:val="auto"/>
                <w:vertAlign w:val="superscript"/>
              </w:rPr>
              <w:t>1</w:t>
            </w:r>
          </w:p>
        </w:tc>
        <w:tc>
          <w:tcPr>
            <w:tcW w:w="1420" w:type="dxa"/>
            <w:vAlign w:val="bottom"/>
          </w:tcPr>
          <w:p>
            <w:pPr>
              <w:ind w:left="520"/>
              <w:spacing w:after="0"/>
              <w:rPr>
                <w:sz w:val="20"/>
                <w:szCs w:val="20"/>
                <w:color w:val="auto"/>
              </w:rPr>
            </w:pPr>
            <w:r>
              <w:rPr>
                <w:rFonts w:ascii="Arial" w:cs="Arial" w:eastAsia="Arial" w:hAnsi="Arial"/>
                <w:sz w:val="18"/>
                <w:szCs w:val="18"/>
                <w:color w:val="auto"/>
              </w:rPr>
              <w:t>Mexico</w:t>
            </w:r>
          </w:p>
        </w:tc>
      </w:tr>
      <w:tr>
        <w:trPr>
          <w:trHeight w:val="383"/>
        </w:trPr>
        <w:tc>
          <w:tcPr>
            <w:tcW w:w="1200" w:type="dxa"/>
            <w:vAlign w:val="bottom"/>
          </w:tcPr>
          <w:p>
            <w:pPr>
              <w:spacing w:after="0"/>
              <w:rPr>
                <w:sz w:val="20"/>
                <w:szCs w:val="20"/>
                <w:color w:val="auto"/>
              </w:rPr>
            </w:pPr>
            <w:r>
              <w:rPr>
                <w:rFonts w:ascii="Arial" w:cs="Arial" w:eastAsia="Arial" w:hAnsi="Arial"/>
                <w:sz w:val="18"/>
                <w:szCs w:val="18"/>
                <w:color w:val="auto"/>
              </w:rPr>
              <w:t>100%</w:t>
            </w:r>
          </w:p>
        </w:tc>
        <w:tc>
          <w:tcPr>
            <w:tcW w:w="1420" w:type="dxa"/>
            <w:vAlign w:val="bottom"/>
          </w:tcPr>
          <w:p>
            <w:pPr>
              <w:ind w:left="520"/>
              <w:spacing w:after="0"/>
              <w:rPr>
                <w:sz w:val="20"/>
                <w:szCs w:val="20"/>
                <w:color w:val="auto"/>
              </w:rPr>
            </w:pPr>
            <w:r>
              <w:rPr>
                <w:rFonts w:ascii="Arial" w:cs="Arial" w:eastAsia="Arial" w:hAnsi="Arial"/>
                <w:sz w:val="18"/>
                <w:szCs w:val="18"/>
                <w:color w:val="auto"/>
              </w:rPr>
              <w:t>Delaware</w:t>
            </w:r>
          </w:p>
        </w:tc>
      </w:tr>
      <w:tr>
        <w:trPr>
          <w:trHeight w:val="507"/>
        </w:trPr>
        <w:tc>
          <w:tcPr>
            <w:tcW w:w="1200" w:type="dxa"/>
            <w:vAlign w:val="bottom"/>
          </w:tcPr>
          <w:p>
            <w:pPr>
              <w:spacing w:after="0"/>
              <w:rPr>
                <w:sz w:val="20"/>
                <w:szCs w:val="20"/>
                <w:color w:val="auto"/>
              </w:rPr>
            </w:pPr>
            <w:r>
              <w:rPr>
                <w:rFonts w:ascii="Arial" w:cs="Arial" w:eastAsia="Arial" w:hAnsi="Arial"/>
                <w:sz w:val="18"/>
                <w:szCs w:val="18"/>
                <w:color w:val="auto"/>
              </w:rPr>
              <w:t xml:space="preserve">.01% </w:t>
            </w:r>
            <w:r>
              <w:rPr>
                <w:rFonts w:ascii="Arial" w:cs="Arial" w:eastAsia="Arial" w:hAnsi="Arial"/>
                <w:sz w:val="24"/>
                <w:szCs w:val="24"/>
                <w:color w:val="auto"/>
                <w:vertAlign w:val="superscript"/>
              </w:rPr>
              <w:t>2</w:t>
            </w:r>
          </w:p>
        </w:tc>
        <w:tc>
          <w:tcPr>
            <w:tcW w:w="1420" w:type="dxa"/>
            <w:vAlign w:val="bottom"/>
          </w:tcPr>
          <w:p>
            <w:pPr>
              <w:ind w:left="520"/>
              <w:spacing w:after="0"/>
              <w:rPr>
                <w:sz w:val="20"/>
                <w:szCs w:val="20"/>
                <w:color w:val="auto"/>
              </w:rPr>
            </w:pPr>
            <w:r>
              <w:rPr>
                <w:rFonts w:ascii="Arial" w:cs="Arial" w:eastAsia="Arial" w:hAnsi="Arial"/>
                <w:sz w:val="18"/>
                <w:szCs w:val="18"/>
                <w:color w:val="auto"/>
              </w:rPr>
              <w:t>Mexico</w:t>
            </w:r>
          </w:p>
        </w:tc>
      </w:tr>
      <w:tr>
        <w:trPr>
          <w:trHeight w:val="445"/>
        </w:trPr>
        <w:tc>
          <w:tcPr>
            <w:tcW w:w="1200" w:type="dxa"/>
            <w:vAlign w:val="bottom"/>
          </w:tcPr>
          <w:p>
            <w:pPr>
              <w:spacing w:after="0"/>
              <w:rPr>
                <w:sz w:val="20"/>
                <w:szCs w:val="20"/>
                <w:color w:val="auto"/>
              </w:rPr>
            </w:pPr>
            <w:r>
              <w:rPr>
                <w:rFonts w:ascii="Arial" w:cs="Arial" w:eastAsia="Arial" w:hAnsi="Arial"/>
                <w:sz w:val="18"/>
                <w:szCs w:val="18"/>
                <w:color w:val="auto"/>
              </w:rPr>
              <w:t xml:space="preserve">99.99% </w:t>
            </w:r>
            <w:r>
              <w:rPr>
                <w:rFonts w:ascii="Arial" w:cs="Arial" w:eastAsia="Arial" w:hAnsi="Arial"/>
                <w:sz w:val="24"/>
                <w:szCs w:val="24"/>
                <w:color w:val="auto"/>
                <w:vertAlign w:val="superscript"/>
              </w:rPr>
              <w:t>3</w:t>
            </w:r>
          </w:p>
        </w:tc>
        <w:tc>
          <w:tcPr>
            <w:tcW w:w="1420" w:type="dxa"/>
            <w:vAlign w:val="bottom"/>
          </w:tcPr>
          <w:p>
            <w:pPr>
              <w:ind w:left="520"/>
              <w:spacing w:after="0"/>
              <w:rPr>
                <w:sz w:val="20"/>
                <w:szCs w:val="20"/>
                <w:color w:val="auto"/>
              </w:rPr>
            </w:pPr>
            <w:r>
              <w:rPr>
                <w:rFonts w:ascii="Arial" w:cs="Arial" w:eastAsia="Arial" w:hAnsi="Arial"/>
                <w:sz w:val="18"/>
                <w:szCs w:val="18"/>
                <w:color w:val="auto"/>
              </w:rPr>
              <w:t>Mexico</w:t>
            </w:r>
          </w:p>
        </w:tc>
      </w:tr>
      <w:tr>
        <w:trPr>
          <w:trHeight w:val="383"/>
        </w:trPr>
        <w:tc>
          <w:tcPr>
            <w:tcW w:w="1200" w:type="dxa"/>
            <w:vAlign w:val="bottom"/>
          </w:tcPr>
          <w:p>
            <w:pPr>
              <w:spacing w:after="0"/>
              <w:rPr>
                <w:sz w:val="20"/>
                <w:szCs w:val="20"/>
                <w:color w:val="auto"/>
              </w:rPr>
            </w:pPr>
            <w:r>
              <w:rPr>
                <w:rFonts w:ascii="Arial" w:cs="Arial" w:eastAsia="Arial" w:hAnsi="Arial"/>
                <w:sz w:val="18"/>
                <w:szCs w:val="18"/>
                <w:color w:val="auto"/>
              </w:rPr>
              <w:t>100%</w:t>
            </w:r>
          </w:p>
        </w:tc>
        <w:tc>
          <w:tcPr>
            <w:tcW w:w="1420" w:type="dxa"/>
            <w:vAlign w:val="bottom"/>
          </w:tcPr>
          <w:p>
            <w:pPr>
              <w:ind w:left="520"/>
              <w:spacing w:after="0"/>
              <w:rPr>
                <w:sz w:val="20"/>
                <w:szCs w:val="20"/>
                <w:color w:val="auto"/>
              </w:rPr>
            </w:pPr>
            <w:r>
              <w:rPr>
                <w:rFonts w:ascii="Arial" w:cs="Arial" w:eastAsia="Arial" w:hAnsi="Arial"/>
                <w:sz w:val="18"/>
                <w:szCs w:val="18"/>
                <w:color w:val="auto"/>
              </w:rPr>
              <w:t>Delaware</w:t>
            </w:r>
          </w:p>
        </w:tc>
      </w:tr>
      <w:tr>
        <w:trPr>
          <w:trHeight w:val="507"/>
        </w:trPr>
        <w:tc>
          <w:tcPr>
            <w:tcW w:w="1200" w:type="dxa"/>
            <w:vAlign w:val="bottom"/>
          </w:tcPr>
          <w:p>
            <w:pPr>
              <w:spacing w:after="0"/>
              <w:rPr>
                <w:sz w:val="20"/>
                <w:szCs w:val="20"/>
                <w:color w:val="auto"/>
              </w:rPr>
            </w:pPr>
            <w:r>
              <w:rPr>
                <w:rFonts w:ascii="Arial" w:cs="Arial" w:eastAsia="Arial" w:hAnsi="Arial"/>
                <w:sz w:val="18"/>
                <w:szCs w:val="18"/>
                <w:color w:val="auto"/>
              </w:rPr>
              <w:t xml:space="preserve">99.99% </w:t>
            </w:r>
            <w:r>
              <w:rPr>
                <w:rFonts w:ascii="Arial" w:cs="Arial" w:eastAsia="Arial" w:hAnsi="Arial"/>
                <w:sz w:val="24"/>
                <w:szCs w:val="24"/>
                <w:color w:val="auto"/>
                <w:vertAlign w:val="superscript"/>
              </w:rPr>
              <w:t>2</w:t>
            </w:r>
          </w:p>
        </w:tc>
        <w:tc>
          <w:tcPr>
            <w:tcW w:w="1420" w:type="dxa"/>
            <w:vAlign w:val="bottom"/>
          </w:tcPr>
          <w:p>
            <w:pPr>
              <w:ind w:left="520"/>
              <w:spacing w:after="0"/>
              <w:rPr>
                <w:sz w:val="20"/>
                <w:szCs w:val="20"/>
                <w:color w:val="auto"/>
              </w:rPr>
            </w:pPr>
            <w:r>
              <w:rPr>
                <w:rFonts w:ascii="Arial" w:cs="Arial" w:eastAsia="Arial" w:hAnsi="Arial"/>
                <w:sz w:val="18"/>
                <w:szCs w:val="18"/>
                <w:color w:val="auto"/>
              </w:rPr>
              <w:t>Mexico</w:t>
            </w:r>
          </w:p>
        </w:tc>
      </w:tr>
      <w:tr>
        <w:trPr>
          <w:trHeight w:val="445"/>
        </w:trPr>
        <w:tc>
          <w:tcPr>
            <w:tcW w:w="1200" w:type="dxa"/>
            <w:vAlign w:val="bottom"/>
          </w:tcPr>
          <w:p>
            <w:pPr>
              <w:spacing w:after="0"/>
              <w:rPr>
                <w:sz w:val="20"/>
                <w:szCs w:val="20"/>
                <w:color w:val="auto"/>
              </w:rPr>
            </w:pPr>
            <w:r>
              <w:rPr>
                <w:rFonts w:ascii="Arial" w:cs="Arial" w:eastAsia="Arial" w:hAnsi="Arial"/>
                <w:sz w:val="18"/>
                <w:szCs w:val="18"/>
                <w:color w:val="auto"/>
              </w:rPr>
              <w:t xml:space="preserve">.01% </w:t>
            </w:r>
            <w:r>
              <w:rPr>
                <w:rFonts w:ascii="Arial" w:cs="Arial" w:eastAsia="Arial" w:hAnsi="Arial"/>
                <w:sz w:val="24"/>
                <w:szCs w:val="24"/>
                <w:color w:val="auto"/>
                <w:vertAlign w:val="superscript"/>
              </w:rPr>
              <w:t>3</w:t>
            </w:r>
          </w:p>
        </w:tc>
        <w:tc>
          <w:tcPr>
            <w:tcW w:w="1420" w:type="dxa"/>
            <w:vAlign w:val="bottom"/>
          </w:tcPr>
          <w:p>
            <w:pPr>
              <w:ind w:left="520"/>
              <w:spacing w:after="0"/>
              <w:rPr>
                <w:sz w:val="20"/>
                <w:szCs w:val="20"/>
                <w:color w:val="auto"/>
              </w:rPr>
            </w:pPr>
            <w:r>
              <w:rPr>
                <w:rFonts w:ascii="Arial" w:cs="Arial" w:eastAsia="Arial" w:hAnsi="Arial"/>
                <w:sz w:val="18"/>
                <w:szCs w:val="18"/>
                <w:color w:val="auto"/>
              </w:rPr>
              <w:t>Mexico</w:t>
            </w:r>
          </w:p>
        </w:tc>
      </w:tr>
      <w:tr>
        <w:trPr>
          <w:trHeight w:val="445"/>
        </w:trPr>
        <w:tc>
          <w:tcPr>
            <w:tcW w:w="1200" w:type="dxa"/>
            <w:vAlign w:val="bottom"/>
          </w:tcPr>
          <w:p>
            <w:pPr>
              <w:spacing w:after="0"/>
              <w:rPr>
                <w:sz w:val="20"/>
                <w:szCs w:val="20"/>
                <w:color w:val="auto"/>
              </w:rPr>
            </w:pPr>
            <w:r>
              <w:rPr>
                <w:rFonts w:ascii="Arial" w:cs="Arial" w:eastAsia="Arial" w:hAnsi="Arial"/>
                <w:sz w:val="18"/>
                <w:szCs w:val="18"/>
                <w:color w:val="auto"/>
              </w:rPr>
              <w:t xml:space="preserve">58.9% </w:t>
            </w:r>
            <w:r>
              <w:rPr>
                <w:rFonts w:ascii="Arial" w:cs="Arial" w:eastAsia="Arial" w:hAnsi="Arial"/>
                <w:sz w:val="24"/>
                <w:szCs w:val="24"/>
                <w:color w:val="auto"/>
                <w:vertAlign w:val="superscript"/>
              </w:rPr>
              <w:t>1</w:t>
            </w:r>
          </w:p>
        </w:tc>
        <w:tc>
          <w:tcPr>
            <w:tcW w:w="1420" w:type="dxa"/>
            <w:vAlign w:val="bottom"/>
          </w:tcPr>
          <w:p>
            <w:pPr>
              <w:ind w:left="520"/>
              <w:spacing w:after="0"/>
              <w:rPr>
                <w:sz w:val="20"/>
                <w:szCs w:val="20"/>
                <w:color w:val="auto"/>
              </w:rPr>
            </w:pPr>
            <w:r>
              <w:rPr>
                <w:rFonts w:ascii="Arial" w:cs="Arial" w:eastAsia="Arial" w:hAnsi="Arial"/>
                <w:sz w:val="18"/>
                <w:szCs w:val="18"/>
                <w:color w:val="auto"/>
              </w:rPr>
              <w:t>Mexico</w:t>
            </w:r>
          </w:p>
        </w:tc>
      </w:tr>
      <w:tr>
        <w:trPr>
          <w:trHeight w:val="383"/>
        </w:trPr>
        <w:tc>
          <w:tcPr>
            <w:tcW w:w="1200" w:type="dxa"/>
            <w:vAlign w:val="bottom"/>
          </w:tcPr>
          <w:p>
            <w:pPr>
              <w:spacing w:after="0"/>
              <w:rPr>
                <w:sz w:val="20"/>
                <w:szCs w:val="20"/>
                <w:color w:val="auto"/>
              </w:rPr>
            </w:pPr>
            <w:r>
              <w:rPr>
                <w:rFonts w:ascii="Arial" w:cs="Arial" w:eastAsia="Arial" w:hAnsi="Arial"/>
                <w:sz w:val="18"/>
                <w:szCs w:val="18"/>
                <w:color w:val="auto"/>
              </w:rPr>
              <w:t>100%</w:t>
            </w:r>
          </w:p>
        </w:tc>
        <w:tc>
          <w:tcPr>
            <w:tcW w:w="1420" w:type="dxa"/>
            <w:vAlign w:val="bottom"/>
          </w:tcPr>
          <w:p>
            <w:pPr>
              <w:ind w:left="520"/>
              <w:spacing w:after="0"/>
              <w:rPr>
                <w:sz w:val="20"/>
                <w:szCs w:val="20"/>
                <w:color w:val="auto"/>
              </w:rPr>
            </w:pPr>
            <w:r>
              <w:rPr>
                <w:rFonts w:ascii="Arial" w:cs="Arial" w:eastAsia="Arial" w:hAnsi="Arial"/>
                <w:sz w:val="18"/>
                <w:szCs w:val="18"/>
                <w:color w:val="auto"/>
              </w:rPr>
              <w:t>Mexico</w:t>
            </w:r>
          </w:p>
        </w:tc>
      </w:tr>
      <w:tr>
        <w:trPr>
          <w:trHeight w:val="337"/>
        </w:trPr>
        <w:tc>
          <w:tcPr>
            <w:tcW w:w="1200" w:type="dxa"/>
            <w:vAlign w:val="bottom"/>
          </w:tcPr>
          <w:p>
            <w:pPr>
              <w:spacing w:after="0"/>
              <w:rPr>
                <w:sz w:val="20"/>
                <w:szCs w:val="20"/>
                <w:color w:val="auto"/>
              </w:rPr>
            </w:pPr>
            <w:r>
              <w:rPr>
                <w:rFonts w:ascii="Arial" w:cs="Arial" w:eastAsia="Arial" w:hAnsi="Arial"/>
                <w:sz w:val="18"/>
                <w:szCs w:val="18"/>
                <w:color w:val="auto"/>
              </w:rPr>
              <w:t>100%</w:t>
            </w:r>
          </w:p>
        </w:tc>
        <w:tc>
          <w:tcPr>
            <w:tcW w:w="1420" w:type="dxa"/>
            <w:vAlign w:val="bottom"/>
          </w:tcPr>
          <w:p>
            <w:pPr>
              <w:ind w:left="520"/>
              <w:spacing w:after="0"/>
              <w:rPr>
                <w:sz w:val="20"/>
                <w:szCs w:val="20"/>
                <w:color w:val="auto"/>
              </w:rPr>
            </w:pPr>
            <w:r>
              <w:rPr>
                <w:rFonts w:ascii="Arial" w:cs="Arial" w:eastAsia="Arial" w:hAnsi="Arial"/>
                <w:sz w:val="18"/>
                <w:szCs w:val="18"/>
                <w:color w:val="auto"/>
              </w:rPr>
              <w:t>Delaware</w:t>
            </w:r>
          </w:p>
        </w:tc>
      </w:tr>
      <w:tr>
        <w:trPr>
          <w:trHeight w:val="337"/>
        </w:trPr>
        <w:tc>
          <w:tcPr>
            <w:tcW w:w="1200" w:type="dxa"/>
            <w:vAlign w:val="bottom"/>
          </w:tcPr>
          <w:p>
            <w:pPr>
              <w:spacing w:after="0"/>
              <w:rPr>
                <w:sz w:val="20"/>
                <w:szCs w:val="20"/>
                <w:color w:val="auto"/>
              </w:rPr>
            </w:pPr>
            <w:r>
              <w:rPr>
                <w:rFonts w:ascii="Arial" w:cs="Arial" w:eastAsia="Arial" w:hAnsi="Arial"/>
                <w:sz w:val="18"/>
                <w:szCs w:val="18"/>
                <w:color w:val="auto"/>
              </w:rPr>
              <w:t>100%</w:t>
            </w:r>
          </w:p>
        </w:tc>
        <w:tc>
          <w:tcPr>
            <w:tcW w:w="1420" w:type="dxa"/>
            <w:vAlign w:val="bottom"/>
          </w:tcPr>
          <w:p>
            <w:pPr>
              <w:ind w:left="520"/>
              <w:spacing w:after="0"/>
              <w:rPr>
                <w:sz w:val="20"/>
                <w:szCs w:val="20"/>
                <w:color w:val="auto"/>
              </w:rPr>
            </w:pPr>
            <w:r>
              <w:rPr>
                <w:rFonts w:ascii="Arial" w:cs="Arial" w:eastAsia="Arial" w:hAnsi="Arial"/>
                <w:sz w:val="18"/>
                <w:szCs w:val="18"/>
                <w:color w:val="auto"/>
              </w:rPr>
              <w:t>Delaware</w:t>
            </w:r>
          </w:p>
        </w:tc>
      </w:tr>
      <w:tr>
        <w:trPr>
          <w:trHeight w:val="445"/>
        </w:trPr>
        <w:tc>
          <w:tcPr>
            <w:tcW w:w="1200" w:type="dxa"/>
            <w:vAlign w:val="bottom"/>
          </w:tcPr>
          <w:p>
            <w:pPr>
              <w:spacing w:after="0"/>
              <w:rPr>
                <w:sz w:val="20"/>
                <w:szCs w:val="20"/>
                <w:color w:val="auto"/>
              </w:rPr>
            </w:pPr>
            <w:r>
              <w:rPr>
                <w:rFonts w:ascii="Arial" w:cs="Arial" w:eastAsia="Arial" w:hAnsi="Arial"/>
                <w:sz w:val="18"/>
                <w:szCs w:val="18"/>
                <w:color w:val="auto"/>
              </w:rPr>
              <w:t>100%</w:t>
            </w:r>
          </w:p>
        </w:tc>
        <w:tc>
          <w:tcPr>
            <w:tcW w:w="1420" w:type="dxa"/>
            <w:vAlign w:val="bottom"/>
          </w:tcPr>
          <w:p>
            <w:pPr>
              <w:ind w:left="520"/>
              <w:spacing w:after="0"/>
              <w:rPr>
                <w:sz w:val="20"/>
                <w:szCs w:val="20"/>
                <w:color w:val="auto"/>
              </w:rPr>
            </w:pPr>
            <w:r>
              <w:rPr>
                <w:rFonts w:ascii="Arial" w:cs="Arial" w:eastAsia="Arial" w:hAnsi="Arial"/>
                <w:sz w:val="18"/>
                <w:szCs w:val="18"/>
                <w:color w:val="auto"/>
                <w:w w:val="90"/>
              </w:rPr>
              <w:t>Nova Scotia</w:t>
            </w:r>
          </w:p>
        </w:tc>
      </w:tr>
      <w:tr>
        <w:trPr>
          <w:trHeight w:val="445"/>
        </w:trPr>
        <w:tc>
          <w:tcPr>
            <w:tcW w:w="1200" w:type="dxa"/>
            <w:vAlign w:val="bottom"/>
          </w:tcPr>
          <w:p>
            <w:pPr>
              <w:spacing w:after="0"/>
              <w:rPr>
                <w:sz w:val="20"/>
                <w:szCs w:val="20"/>
                <w:color w:val="auto"/>
              </w:rPr>
            </w:pPr>
            <w:r>
              <w:rPr>
                <w:rFonts w:ascii="Arial" w:cs="Arial" w:eastAsia="Arial" w:hAnsi="Arial"/>
                <w:sz w:val="18"/>
                <w:szCs w:val="18"/>
                <w:color w:val="auto"/>
              </w:rPr>
              <w:t>100%</w:t>
            </w:r>
          </w:p>
        </w:tc>
        <w:tc>
          <w:tcPr>
            <w:tcW w:w="1420" w:type="dxa"/>
            <w:vAlign w:val="bottom"/>
          </w:tcPr>
          <w:p>
            <w:pPr>
              <w:ind w:left="520"/>
              <w:spacing w:after="0"/>
              <w:rPr>
                <w:sz w:val="20"/>
                <w:szCs w:val="20"/>
                <w:color w:val="auto"/>
              </w:rPr>
            </w:pPr>
            <w:r>
              <w:rPr>
                <w:rFonts w:ascii="Arial" w:cs="Arial" w:eastAsia="Arial" w:hAnsi="Arial"/>
                <w:sz w:val="18"/>
                <w:szCs w:val="18"/>
                <w:color w:val="auto"/>
              </w:rPr>
              <w:t>Delaware</w:t>
            </w:r>
          </w:p>
        </w:tc>
      </w:tr>
      <w:tr>
        <w:trPr>
          <w:trHeight w:val="445"/>
        </w:trPr>
        <w:tc>
          <w:tcPr>
            <w:tcW w:w="1200" w:type="dxa"/>
            <w:vAlign w:val="bottom"/>
          </w:tcPr>
          <w:p>
            <w:pPr>
              <w:spacing w:after="0"/>
              <w:rPr>
                <w:sz w:val="20"/>
                <w:szCs w:val="20"/>
                <w:color w:val="auto"/>
              </w:rPr>
            </w:pPr>
            <w:r>
              <w:rPr>
                <w:rFonts w:ascii="Arial" w:cs="Arial" w:eastAsia="Arial" w:hAnsi="Arial"/>
                <w:sz w:val="18"/>
                <w:szCs w:val="18"/>
                <w:color w:val="auto"/>
              </w:rPr>
              <w:t>100%</w:t>
            </w:r>
          </w:p>
        </w:tc>
        <w:tc>
          <w:tcPr>
            <w:tcW w:w="1420" w:type="dxa"/>
            <w:vAlign w:val="bottom"/>
          </w:tcPr>
          <w:p>
            <w:pPr>
              <w:ind w:left="520"/>
              <w:spacing w:after="0"/>
              <w:rPr>
                <w:sz w:val="20"/>
                <w:szCs w:val="20"/>
                <w:color w:val="auto"/>
              </w:rPr>
            </w:pPr>
            <w:r>
              <w:rPr>
                <w:rFonts w:ascii="Arial" w:cs="Arial" w:eastAsia="Arial" w:hAnsi="Arial"/>
                <w:sz w:val="18"/>
                <w:szCs w:val="18"/>
                <w:color w:val="auto"/>
              </w:rPr>
              <w:t>Delaware</w:t>
            </w:r>
          </w:p>
        </w:tc>
      </w:tr>
      <w:tr>
        <w:trPr>
          <w:trHeight w:val="445"/>
        </w:trPr>
        <w:tc>
          <w:tcPr>
            <w:tcW w:w="1200" w:type="dxa"/>
            <w:vAlign w:val="bottom"/>
          </w:tcPr>
          <w:p>
            <w:pPr>
              <w:spacing w:after="0"/>
              <w:rPr>
                <w:sz w:val="20"/>
                <w:szCs w:val="20"/>
                <w:color w:val="auto"/>
              </w:rPr>
            </w:pPr>
            <w:r>
              <w:rPr>
                <w:rFonts w:ascii="Arial" w:cs="Arial" w:eastAsia="Arial" w:hAnsi="Arial"/>
                <w:sz w:val="18"/>
                <w:szCs w:val="18"/>
                <w:color w:val="auto"/>
              </w:rPr>
              <w:t>100%</w:t>
            </w:r>
          </w:p>
        </w:tc>
        <w:tc>
          <w:tcPr>
            <w:tcW w:w="1420" w:type="dxa"/>
            <w:vAlign w:val="bottom"/>
          </w:tcPr>
          <w:p>
            <w:pPr>
              <w:ind w:left="520"/>
              <w:spacing w:after="0"/>
              <w:rPr>
                <w:sz w:val="20"/>
                <w:szCs w:val="20"/>
                <w:color w:val="auto"/>
              </w:rPr>
            </w:pPr>
            <w:r>
              <w:rPr>
                <w:rFonts w:ascii="Arial" w:cs="Arial" w:eastAsia="Arial" w:hAnsi="Arial"/>
                <w:sz w:val="18"/>
                <w:szCs w:val="18"/>
                <w:color w:val="auto"/>
                <w:w w:val="97"/>
              </w:rPr>
              <w:t>Hong Kong</w:t>
            </w:r>
          </w:p>
        </w:tc>
      </w:tr>
      <w:tr>
        <w:trPr>
          <w:trHeight w:val="445"/>
        </w:trPr>
        <w:tc>
          <w:tcPr>
            <w:tcW w:w="1200" w:type="dxa"/>
            <w:vAlign w:val="bottom"/>
          </w:tcPr>
          <w:p>
            <w:pPr>
              <w:spacing w:after="0"/>
              <w:rPr>
                <w:sz w:val="20"/>
                <w:szCs w:val="20"/>
                <w:color w:val="auto"/>
              </w:rPr>
            </w:pPr>
            <w:r>
              <w:rPr>
                <w:rFonts w:ascii="Arial" w:cs="Arial" w:eastAsia="Arial" w:hAnsi="Arial"/>
                <w:sz w:val="18"/>
                <w:szCs w:val="18"/>
                <w:color w:val="auto"/>
              </w:rPr>
              <w:t>100%</w:t>
            </w:r>
          </w:p>
        </w:tc>
        <w:tc>
          <w:tcPr>
            <w:tcW w:w="1420" w:type="dxa"/>
            <w:vAlign w:val="bottom"/>
          </w:tcPr>
          <w:p>
            <w:pPr>
              <w:ind w:left="520"/>
              <w:spacing w:after="0"/>
              <w:rPr>
                <w:sz w:val="20"/>
                <w:szCs w:val="20"/>
                <w:color w:val="auto"/>
              </w:rPr>
            </w:pPr>
            <w:r>
              <w:rPr>
                <w:rFonts w:ascii="Arial" w:cs="Arial" w:eastAsia="Arial" w:hAnsi="Arial"/>
                <w:sz w:val="18"/>
                <w:szCs w:val="18"/>
                <w:color w:val="auto"/>
              </w:rPr>
              <w:t>Indonesia</w:t>
            </w:r>
          </w:p>
        </w:tc>
      </w:tr>
      <w:tr>
        <w:trPr>
          <w:trHeight w:val="445"/>
        </w:trPr>
        <w:tc>
          <w:tcPr>
            <w:tcW w:w="1200" w:type="dxa"/>
            <w:vAlign w:val="bottom"/>
          </w:tcPr>
          <w:p>
            <w:pPr>
              <w:spacing w:after="0"/>
              <w:rPr>
                <w:sz w:val="20"/>
                <w:szCs w:val="20"/>
                <w:color w:val="auto"/>
              </w:rPr>
            </w:pPr>
            <w:r>
              <w:rPr>
                <w:rFonts w:ascii="Arial" w:cs="Arial" w:eastAsia="Arial" w:hAnsi="Arial"/>
                <w:sz w:val="18"/>
                <w:szCs w:val="18"/>
                <w:color w:val="auto"/>
              </w:rPr>
              <w:t>100%</w:t>
            </w:r>
          </w:p>
        </w:tc>
        <w:tc>
          <w:tcPr>
            <w:tcW w:w="1420" w:type="dxa"/>
            <w:vAlign w:val="bottom"/>
          </w:tcPr>
          <w:p>
            <w:pPr>
              <w:ind w:left="520"/>
              <w:spacing w:after="0"/>
              <w:rPr>
                <w:sz w:val="20"/>
                <w:szCs w:val="20"/>
                <w:color w:val="auto"/>
              </w:rPr>
            </w:pPr>
            <w:r>
              <w:rPr>
                <w:rFonts w:ascii="Arial" w:cs="Arial" w:eastAsia="Arial" w:hAnsi="Arial"/>
                <w:sz w:val="18"/>
                <w:szCs w:val="18"/>
                <w:color w:val="auto"/>
              </w:rPr>
              <w:t>Delaware</w:t>
            </w:r>
          </w:p>
        </w:tc>
      </w:tr>
      <w:tr>
        <w:trPr>
          <w:trHeight w:val="445"/>
        </w:trPr>
        <w:tc>
          <w:tcPr>
            <w:tcW w:w="1200" w:type="dxa"/>
            <w:vAlign w:val="bottom"/>
          </w:tcPr>
          <w:p>
            <w:pPr>
              <w:spacing w:after="0"/>
              <w:rPr>
                <w:sz w:val="20"/>
                <w:szCs w:val="20"/>
                <w:color w:val="auto"/>
              </w:rPr>
            </w:pPr>
            <w:r>
              <w:rPr>
                <w:rFonts w:ascii="Arial" w:cs="Arial" w:eastAsia="Arial" w:hAnsi="Arial"/>
                <w:sz w:val="18"/>
                <w:szCs w:val="18"/>
                <w:color w:val="auto"/>
              </w:rPr>
              <w:t>100%</w:t>
            </w:r>
          </w:p>
        </w:tc>
        <w:tc>
          <w:tcPr>
            <w:tcW w:w="1420" w:type="dxa"/>
            <w:vAlign w:val="bottom"/>
          </w:tcPr>
          <w:p>
            <w:pPr>
              <w:ind w:left="520"/>
              <w:spacing w:after="0"/>
              <w:rPr>
                <w:sz w:val="20"/>
                <w:szCs w:val="20"/>
                <w:color w:val="auto"/>
              </w:rPr>
            </w:pPr>
            <w:r>
              <w:rPr>
                <w:rFonts w:ascii="Arial" w:cs="Arial" w:eastAsia="Arial" w:hAnsi="Arial"/>
                <w:sz w:val="18"/>
                <w:szCs w:val="18"/>
                <w:color w:val="auto"/>
              </w:rPr>
              <w:t>Delaware</w:t>
            </w:r>
          </w:p>
        </w:tc>
      </w:tr>
      <w:tr>
        <w:trPr>
          <w:trHeight w:val="445"/>
        </w:trPr>
        <w:tc>
          <w:tcPr>
            <w:tcW w:w="1200" w:type="dxa"/>
            <w:vAlign w:val="bottom"/>
          </w:tcPr>
          <w:p>
            <w:pPr>
              <w:spacing w:after="0"/>
              <w:rPr>
                <w:sz w:val="20"/>
                <w:szCs w:val="20"/>
                <w:color w:val="auto"/>
              </w:rPr>
            </w:pPr>
            <w:r>
              <w:rPr>
                <w:rFonts w:ascii="Arial" w:cs="Arial" w:eastAsia="Arial" w:hAnsi="Arial"/>
                <w:sz w:val="18"/>
                <w:szCs w:val="18"/>
                <w:color w:val="auto"/>
              </w:rPr>
              <w:t>100%</w:t>
            </w:r>
          </w:p>
        </w:tc>
        <w:tc>
          <w:tcPr>
            <w:tcW w:w="1420" w:type="dxa"/>
            <w:vAlign w:val="bottom"/>
          </w:tcPr>
          <w:p>
            <w:pPr>
              <w:ind w:left="520"/>
              <w:spacing w:after="0"/>
              <w:rPr>
                <w:sz w:val="20"/>
                <w:szCs w:val="20"/>
                <w:color w:val="auto"/>
              </w:rPr>
            </w:pPr>
            <w:r>
              <w:rPr>
                <w:rFonts w:ascii="Arial" w:cs="Arial" w:eastAsia="Arial" w:hAnsi="Arial"/>
                <w:sz w:val="18"/>
                <w:szCs w:val="18"/>
                <w:color w:val="auto"/>
              </w:rPr>
              <w:t>Arizona</w:t>
            </w:r>
          </w:p>
        </w:tc>
      </w:tr>
      <w:tr>
        <w:trPr>
          <w:trHeight w:val="445"/>
        </w:trPr>
        <w:tc>
          <w:tcPr>
            <w:tcW w:w="1200" w:type="dxa"/>
            <w:vAlign w:val="bottom"/>
          </w:tcPr>
          <w:p>
            <w:pPr>
              <w:spacing w:after="0"/>
              <w:rPr>
                <w:sz w:val="20"/>
                <w:szCs w:val="20"/>
                <w:color w:val="auto"/>
              </w:rPr>
            </w:pPr>
            <w:r>
              <w:rPr>
                <w:rFonts w:ascii="Arial" w:cs="Arial" w:eastAsia="Arial" w:hAnsi="Arial"/>
                <w:sz w:val="18"/>
                <w:szCs w:val="18"/>
                <w:color w:val="auto"/>
              </w:rPr>
              <w:t>100%</w:t>
            </w:r>
          </w:p>
        </w:tc>
        <w:tc>
          <w:tcPr>
            <w:tcW w:w="1420" w:type="dxa"/>
            <w:vAlign w:val="bottom"/>
          </w:tcPr>
          <w:p>
            <w:pPr>
              <w:ind w:left="520"/>
              <w:spacing w:after="0"/>
              <w:rPr>
                <w:sz w:val="20"/>
                <w:szCs w:val="20"/>
                <w:color w:val="auto"/>
              </w:rPr>
            </w:pPr>
            <w:r>
              <w:rPr>
                <w:rFonts w:ascii="Arial" w:cs="Arial" w:eastAsia="Arial" w:hAnsi="Arial"/>
                <w:sz w:val="18"/>
                <w:szCs w:val="18"/>
                <w:color w:val="auto"/>
              </w:rPr>
              <w:t>Kansas</w:t>
            </w:r>
          </w:p>
        </w:tc>
      </w:tr>
      <w:tr>
        <w:trPr>
          <w:trHeight w:val="445"/>
        </w:trPr>
        <w:tc>
          <w:tcPr>
            <w:tcW w:w="1200" w:type="dxa"/>
            <w:vAlign w:val="bottom"/>
          </w:tcPr>
          <w:p>
            <w:pPr>
              <w:spacing w:after="0"/>
              <w:rPr>
                <w:sz w:val="20"/>
                <w:szCs w:val="20"/>
                <w:color w:val="auto"/>
              </w:rPr>
            </w:pPr>
            <w:r>
              <w:rPr>
                <w:rFonts w:ascii="Arial" w:cs="Arial" w:eastAsia="Arial" w:hAnsi="Arial"/>
                <w:sz w:val="18"/>
                <w:szCs w:val="18"/>
                <w:color w:val="auto"/>
              </w:rPr>
              <w:t>100%</w:t>
            </w:r>
          </w:p>
        </w:tc>
        <w:tc>
          <w:tcPr>
            <w:tcW w:w="1420" w:type="dxa"/>
            <w:vAlign w:val="bottom"/>
          </w:tcPr>
          <w:p>
            <w:pPr>
              <w:ind w:left="520"/>
              <w:spacing w:after="0"/>
              <w:rPr>
                <w:sz w:val="20"/>
                <w:szCs w:val="20"/>
                <w:color w:val="auto"/>
              </w:rPr>
            </w:pPr>
            <w:r>
              <w:rPr>
                <w:rFonts w:ascii="Arial" w:cs="Arial" w:eastAsia="Arial" w:hAnsi="Arial"/>
                <w:sz w:val="18"/>
                <w:szCs w:val="18"/>
                <w:color w:val="auto"/>
              </w:rPr>
              <w:t>Oregon</w:t>
            </w:r>
          </w:p>
        </w:tc>
      </w:tr>
      <w:tr>
        <w:trPr>
          <w:trHeight w:val="445"/>
        </w:trPr>
        <w:tc>
          <w:tcPr>
            <w:tcW w:w="1200" w:type="dxa"/>
            <w:vAlign w:val="bottom"/>
          </w:tcPr>
          <w:p>
            <w:pPr>
              <w:spacing w:after="0"/>
              <w:rPr>
                <w:sz w:val="20"/>
                <w:szCs w:val="20"/>
                <w:color w:val="auto"/>
              </w:rPr>
            </w:pPr>
            <w:r>
              <w:rPr>
                <w:rFonts w:ascii="Arial" w:cs="Arial" w:eastAsia="Arial" w:hAnsi="Arial"/>
                <w:sz w:val="18"/>
                <w:szCs w:val="18"/>
                <w:color w:val="auto"/>
              </w:rPr>
              <w:t>100%</w:t>
            </w:r>
          </w:p>
        </w:tc>
        <w:tc>
          <w:tcPr>
            <w:tcW w:w="1420" w:type="dxa"/>
            <w:vAlign w:val="bottom"/>
          </w:tcPr>
          <w:p>
            <w:pPr>
              <w:ind w:left="520"/>
              <w:spacing w:after="0"/>
              <w:rPr>
                <w:sz w:val="20"/>
                <w:szCs w:val="20"/>
                <w:color w:val="auto"/>
              </w:rPr>
            </w:pPr>
            <w:r>
              <w:rPr>
                <w:rFonts w:ascii="Arial" w:cs="Arial" w:eastAsia="Arial" w:hAnsi="Arial"/>
                <w:sz w:val="18"/>
                <w:szCs w:val="18"/>
                <w:color w:val="auto"/>
              </w:rPr>
              <w:t>Delaware</w:t>
            </w:r>
          </w:p>
        </w:tc>
      </w:tr>
      <w:tr>
        <w:trPr>
          <w:trHeight w:val="445"/>
        </w:trPr>
        <w:tc>
          <w:tcPr>
            <w:tcW w:w="1200" w:type="dxa"/>
            <w:vAlign w:val="bottom"/>
          </w:tcPr>
          <w:p>
            <w:pPr>
              <w:spacing w:after="0"/>
              <w:rPr>
                <w:sz w:val="20"/>
                <w:szCs w:val="20"/>
                <w:color w:val="auto"/>
              </w:rPr>
            </w:pPr>
            <w:r>
              <w:rPr>
                <w:rFonts w:ascii="Arial" w:cs="Arial" w:eastAsia="Arial" w:hAnsi="Arial"/>
                <w:sz w:val="18"/>
                <w:szCs w:val="18"/>
                <w:color w:val="auto"/>
              </w:rPr>
              <w:t>100%</w:t>
            </w:r>
          </w:p>
        </w:tc>
        <w:tc>
          <w:tcPr>
            <w:tcW w:w="1420" w:type="dxa"/>
            <w:vAlign w:val="bottom"/>
          </w:tcPr>
          <w:p>
            <w:pPr>
              <w:ind w:left="520"/>
              <w:spacing w:after="0"/>
              <w:rPr>
                <w:sz w:val="20"/>
                <w:szCs w:val="20"/>
                <w:color w:val="auto"/>
              </w:rPr>
            </w:pPr>
            <w:r>
              <w:rPr>
                <w:rFonts w:ascii="Arial" w:cs="Arial" w:eastAsia="Arial" w:hAnsi="Arial"/>
                <w:sz w:val="18"/>
                <w:szCs w:val="18"/>
                <w:color w:val="auto"/>
              </w:rPr>
              <w:t>Illinois</w:t>
            </w:r>
          </w:p>
        </w:tc>
      </w:tr>
      <w:tr>
        <w:trPr>
          <w:trHeight w:val="445"/>
        </w:trPr>
        <w:tc>
          <w:tcPr>
            <w:tcW w:w="1200" w:type="dxa"/>
            <w:vAlign w:val="bottom"/>
          </w:tcPr>
          <w:p>
            <w:pPr>
              <w:spacing w:after="0"/>
              <w:rPr>
                <w:sz w:val="20"/>
                <w:szCs w:val="20"/>
                <w:color w:val="auto"/>
              </w:rPr>
            </w:pPr>
            <w:r>
              <w:rPr>
                <w:rFonts w:ascii="Arial" w:cs="Arial" w:eastAsia="Arial" w:hAnsi="Arial"/>
                <w:sz w:val="18"/>
                <w:szCs w:val="18"/>
                <w:color w:val="auto"/>
              </w:rPr>
              <w:t>100%</w:t>
            </w:r>
          </w:p>
        </w:tc>
        <w:tc>
          <w:tcPr>
            <w:tcW w:w="1420" w:type="dxa"/>
            <w:vAlign w:val="bottom"/>
          </w:tcPr>
          <w:p>
            <w:pPr>
              <w:ind w:left="520"/>
              <w:spacing w:after="0"/>
              <w:rPr>
                <w:sz w:val="20"/>
                <w:szCs w:val="20"/>
                <w:color w:val="auto"/>
              </w:rPr>
            </w:pPr>
            <w:r>
              <w:rPr>
                <w:rFonts w:ascii="Arial" w:cs="Arial" w:eastAsia="Arial" w:hAnsi="Arial"/>
                <w:sz w:val="18"/>
                <w:szCs w:val="18"/>
                <w:color w:val="auto"/>
              </w:rPr>
              <w:t>Ontario</w:t>
            </w:r>
          </w:p>
        </w:tc>
      </w:tr>
      <w:tr>
        <w:trPr>
          <w:trHeight w:val="337"/>
        </w:trPr>
        <w:tc>
          <w:tcPr>
            <w:tcW w:w="1200" w:type="dxa"/>
            <w:vAlign w:val="bottom"/>
          </w:tcPr>
          <w:p>
            <w:pPr>
              <w:spacing w:after="0"/>
              <w:rPr>
                <w:sz w:val="20"/>
                <w:szCs w:val="20"/>
                <w:color w:val="auto"/>
              </w:rPr>
            </w:pPr>
            <w:r>
              <w:rPr>
                <w:rFonts w:ascii="Arial" w:cs="Arial" w:eastAsia="Arial" w:hAnsi="Arial"/>
                <w:sz w:val="18"/>
                <w:szCs w:val="18"/>
                <w:color w:val="auto"/>
              </w:rPr>
              <w:t>100%</w:t>
            </w:r>
          </w:p>
        </w:tc>
        <w:tc>
          <w:tcPr>
            <w:tcW w:w="1420" w:type="dxa"/>
            <w:vAlign w:val="bottom"/>
          </w:tcPr>
          <w:p>
            <w:pPr>
              <w:ind w:left="520"/>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2">
            <w:col w:w="7080" w:space="720"/>
            <w:col w:w="3440"/>
          </w:cols>
          <w:pgMar w:left="320" w:top="337" w:right="339" w:bottom="0" w:gutter="0" w:footer="0" w:header="0"/>
          <w:type w:val="continuous"/>
        </w:sectPr>
      </w:pPr>
    </w:p>
    <w:bookmarkStart w:id="84" w:name="page85"/>
    <w:bookmarkEnd w:id="84"/>
    <w:p>
      <w:pPr>
        <w:ind w:left="80" w:hanging="76"/>
        <w:spacing w:after="0"/>
        <w:tabs>
          <w:tab w:leader="none" w:pos="80" w:val="left"/>
        </w:tabs>
        <w:numPr>
          <w:ilvl w:val="0"/>
          <w:numId w:val="48"/>
        </w:numPr>
        <w:rPr>
          <w:rFonts w:ascii="Arial" w:cs="Arial" w:eastAsia="Arial" w:hAnsi="Arial"/>
          <w:sz w:val="10"/>
          <w:szCs w:val="10"/>
          <w:color w:val="auto"/>
        </w:rPr>
      </w:pPr>
      <w:r>
        <w:rPr>
          <w:rFonts w:ascii="Arial" w:cs="Arial" w:eastAsia="Arial" w:hAnsi="Arial"/>
          <w:sz w:val="18"/>
          <w:szCs w:val="18"/>
          <w:color w:val="auto"/>
        </w:rPr>
        <w:t>YRC Transportation, S.A. de C.V. is owned 58.9% by YRC Inc. and 41.1% by YRC Freight Canada Company</w:t>
      </w:r>
    </w:p>
    <w:p>
      <w:pPr>
        <w:spacing w:after="0" w:line="23" w:lineRule="exact"/>
        <w:rPr>
          <w:sz w:val="20"/>
          <w:szCs w:val="20"/>
          <w:color w:val="auto"/>
        </w:rPr>
      </w:pPr>
    </w:p>
    <w:p>
      <w:pPr>
        <w:ind w:left="80" w:hanging="76"/>
        <w:spacing w:after="0"/>
        <w:tabs>
          <w:tab w:leader="none" w:pos="80" w:val="left"/>
        </w:tabs>
        <w:numPr>
          <w:ilvl w:val="0"/>
          <w:numId w:val="49"/>
        </w:numPr>
        <w:rPr>
          <w:rFonts w:ascii="Arial" w:cs="Arial" w:eastAsia="Arial" w:hAnsi="Arial"/>
          <w:sz w:val="9"/>
          <w:szCs w:val="9"/>
          <w:color w:val="auto"/>
        </w:rPr>
      </w:pPr>
      <w:r>
        <w:rPr>
          <w:rFonts w:ascii="Arial" w:cs="Arial" w:eastAsia="Arial" w:hAnsi="Arial"/>
          <w:sz w:val="16"/>
          <w:szCs w:val="16"/>
          <w:color w:val="auto"/>
        </w:rPr>
        <w:t>Transcontinental Lease, S. de R.L. de C.V. is owned 99.99% by YRC Inc. and .01% by Roadway Express International, Inc.</w:t>
      </w:r>
    </w:p>
    <w:p>
      <w:pPr>
        <w:spacing w:after="0" w:line="31" w:lineRule="exact"/>
        <w:rPr>
          <w:rFonts w:ascii="Arial" w:cs="Arial" w:eastAsia="Arial" w:hAnsi="Arial"/>
          <w:sz w:val="9"/>
          <w:szCs w:val="9"/>
          <w:color w:val="auto"/>
        </w:rPr>
      </w:pPr>
    </w:p>
    <w:p>
      <w:pPr>
        <w:spacing w:after="0"/>
        <w:rPr>
          <w:rFonts w:ascii="Arial" w:cs="Arial" w:eastAsia="Arial" w:hAnsi="Arial"/>
          <w:sz w:val="9"/>
          <w:szCs w:val="9"/>
          <w:color w:val="auto"/>
        </w:rPr>
      </w:pPr>
      <w:r>
        <w:rPr>
          <w:rFonts w:ascii="Arial" w:cs="Arial" w:eastAsia="Arial" w:hAnsi="Arial"/>
          <w:sz w:val="9"/>
          <w:szCs w:val="9"/>
          <w:color w:val="auto"/>
        </w:rPr>
        <w:t xml:space="preserve">3 </w:t>
      </w:r>
      <w:r>
        <w:rPr>
          <w:rFonts w:ascii="Arial" w:cs="Arial" w:eastAsia="Arial" w:hAnsi="Arial"/>
          <w:sz w:val="16"/>
          <w:szCs w:val="16"/>
          <w:color w:val="auto"/>
        </w:rPr>
        <w:t>Roadway Express, S.A. de C.V. is owned 99.99% by YRC Inc. and .01% by Transcontinental Lease, S. de R.L. de C.V.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349885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99"/>
          </w:cols>
          <w:pgMar w:left="360" w:top="543" w:right="1440"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3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consent to the incorporation by reference in the registration statements (Nos. 333-139691, 333-144958, 333-178223, 333-231971, and 333-249800) on Form S-8 and (No. 333-257811) on Form S-3 of our reports dated February 4, 2022, with respect to the consolidated financial statements of Yellow Corporation and the effectiveness of internal control over financial reporting.</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 KPMG LLP</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Kansas City, Missouri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198120</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31.1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EXCHANGE ACT RULES 13a-14 AND 15d-14,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SARBANES-OXLEY ACT OF 2002</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I, Darren D. Hawkins, certify that:</w:t>
      </w:r>
    </w:p>
    <w:p>
      <w:pPr>
        <w:spacing w:after="0" w:line="171" w:lineRule="exact"/>
        <w:rPr>
          <w:sz w:val="20"/>
          <w:szCs w:val="20"/>
          <w:color w:val="auto"/>
        </w:rPr>
      </w:pPr>
    </w:p>
    <w:p>
      <w:pPr>
        <w:ind w:left="760" w:hanging="752"/>
        <w:spacing w:after="0"/>
        <w:tabs>
          <w:tab w:leader="none" w:pos="7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report on Form 10-K of Yellow Corporation;</w:t>
      </w:r>
    </w:p>
    <w:p>
      <w:pPr>
        <w:spacing w:after="0" w:line="170" w:lineRule="exact"/>
        <w:rPr>
          <w:rFonts w:ascii="Arial" w:cs="Arial" w:eastAsia="Arial" w:hAnsi="Arial"/>
          <w:sz w:val="18"/>
          <w:szCs w:val="18"/>
          <w:color w:val="auto"/>
        </w:rPr>
      </w:pPr>
    </w:p>
    <w:p>
      <w:pPr>
        <w:jc w:val="both"/>
        <w:ind w:left="760" w:hanging="752"/>
        <w:spacing w:after="0" w:line="263" w:lineRule="auto"/>
        <w:tabs>
          <w:tab w:leader="none" w:pos="7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8" w:lineRule="exact"/>
        <w:rPr>
          <w:rFonts w:ascii="Arial" w:cs="Arial" w:eastAsia="Arial" w:hAnsi="Arial"/>
          <w:sz w:val="18"/>
          <w:szCs w:val="18"/>
          <w:color w:val="auto"/>
        </w:rPr>
      </w:pPr>
    </w:p>
    <w:p>
      <w:pPr>
        <w:ind w:left="760" w:hanging="752"/>
        <w:spacing w:after="0" w:line="307" w:lineRule="auto"/>
        <w:tabs>
          <w:tab w:leader="none" w:pos="7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Arial" w:cs="Arial" w:eastAsia="Arial" w:hAnsi="Arial"/>
          <w:sz w:val="17"/>
          <w:szCs w:val="17"/>
          <w:color w:val="auto"/>
        </w:rPr>
      </w:pPr>
    </w:p>
    <w:p>
      <w:pPr>
        <w:jc w:val="both"/>
        <w:ind w:left="760" w:hanging="752"/>
        <w:spacing w:after="0" w:line="263" w:lineRule="auto"/>
        <w:tabs>
          <w:tab w:leader="none" w:pos="7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8" w:lineRule="exact"/>
        <w:rPr>
          <w:rFonts w:ascii="Arial" w:cs="Arial" w:eastAsia="Arial" w:hAnsi="Arial"/>
          <w:sz w:val="18"/>
          <w:szCs w:val="18"/>
          <w:color w:val="auto"/>
        </w:rPr>
      </w:pPr>
    </w:p>
    <w:p>
      <w:pPr>
        <w:jc w:val="both"/>
        <w:ind w:left="1500" w:hanging="743"/>
        <w:spacing w:after="0" w:line="263" w:lineRule="auto"/>
        <w:tabs>
          <w:tab w:leader="none" w:pos="15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8" w:lineRule="exact"/>
        <w:rPr>
          <w:rFonts w:ascii="Arial" w:cs="Arial" w:eastAsia="Arial" w:hAnsi="Arial"/>
          <w:sz w:val="18"/>
          <w:szCs w:val="18"/>
          <w:color w:val="auto"/>
        </w:rPr>
      </w:pPr>
    </w:p>
    <w:p>
      <w:pPr>
        <w:jc w:val="both"/>
        <w:ind w:left="1500" w:hanging="743"/>
        <w:spacing w:after="0" w:line="263" w:lineRule="auto"/>
        <w:tabs>
          <w:tab w:leader="none" w:pos="15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8" w:lineRule="exact"/>
        <w:rPr>
          <w:rFonts w:ascii="Arial" w:cs="Arial" w:eastAsia="Arial" w:hAnsi="Arial"/>
          <w:sz w:val="18"/>
          <w:szCs w:val="18"/>
          <w:color w:val="auto"/>
        </w:rPr>
      </w:pPr>
    </w:p>
    <w:p>
      <w:pPr>
        <w:jc w:val="both"/>
        <w:ind w:left="1500" w:hanging="743"/>
        <w:spacing w:after="0" w:line="341" w:lineRule="auto"/>
        <w:tabs>
          <w:tab w:leader="none" w:pos="1500" w:val="left"/>
        </w:tabs>
        <w:numPr>
          <w:ilvl w:val="1"/>
          <w:numId w:val="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0" w:lineRule="exact"/>
        <w:rPr>
          <w:rFonts w:ascii="Arial" w:cs="Arial" w:eastAsia="Arial" w:hAnsi="Arial"/>
          <w:sz w:val="16"/>
          <w:szCs w:val="16"/>
          <w:color w:val="auto"/>
        </w:rPr>
      </w:pPr>
    </w:p>
    <w:p>
      <w:pPr>
        <w:jc w:val="both"/>
        <w:ind w:left="1500" w:hanging="743"/>
        <w:spacing w:after="0" w:line="263" w:lineRule="auto"/>
        <w:tabs>
          <w:tab w:leader="none" w:pos="15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8" w:lineRule="exact"/>
        <w:rPr>
          <w:rFonts w:ascii="Arial" w:cs="Arial" w:eastAsia="Arial" w:hAnsi="Arial"/>
          <w:sz w:val="18"/>
          <w:szCs w:val="18"/>
          <w:color w:val="auto"/>
        </w:rPr>
      </w:pPr>
    </w:p>
    <w:p>
      <w:pPr>
        <w:ind w:left="760" w:hanging="752"/>
        <w:spacing w:after="0" w:line="307" w:lineRule="auto"/>
        <w:tabs>
          <w:tab w:leader="none" w:pos="7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7"/>
          <w:szCs w:val="17"/>
          <w:color w:val="auto"/>
        </w:rPr>
      </w:pPr>
    </w:p>
    <w:p>
      <w:pPr>
        <w:ind w:left="1500" w:hanging="743"/>
        <w:spacing w:after="0" w:line="307" w:lineRule="auto"/>
        <w:tabs>
          <w:tab w:leader="none" w:pos="1500" w:val="left"/>
        </w:tabs>
        <w:numPr>
          <w:ilvl w:val="1"/>
          <w:numId w:val="5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7"/>
          <w:szCs w:val="17"/>
          <w:color w:val="auto"/>
        </w:rPr>
      </w:pPr>
    </w:p>
    <w:p>
      <w:pPr>
        <w:ind w:left="1500" w:hanging="743"/>
        <w:spacing w:after="0" w:line="277" w:lineRule="auto"/>
        <w:tabs>
          <w:tab w:leader="none" w:pos="15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3" w:lineRule="exact"/>
        <w:rPr>
          <w:sz w:val="20"/>
          <w:szCs w:val="20"/>
          <w:color w:val="auto"/>
        </w:rPr>
      </w:pPr>
    </w:p>
    <w:p>
      <w:pPr>
        <w:ind w:left="60"/>
        <w:spacing w:after="0"/>
        <w:tabs>
          <w:tab w:leader="none" w:pos="5700" w:val="left"/>
        </w:tabs>
        <w:rPr>
          <w:sz w:val="20"/>
          <w:szCs w:val="20"/>
          <w:color w:val="auto"/>
        </w:rPr>
      </w:pPr>
      <w:r>
        <w:rPr>
          <w:rFonts w:ascii="Arial" w:cs="Arial" w:eastAsia="Arial" w:hAnsi="Arial"/>
          <w:sz w:val="18"/>
          <w:szCs w:val="18"/>
          <w:color w:val="auto"/>
        </w:rPr>
        <w:t>Date: February 9, 2023</w:t>
      </w:r>
      <w:r>
        <w:rPr>
          <w:sz w:val="20"/>
          <w:szCs w:val="20"/>
          <w:color w:val="auto"/>
        </w:rPr>
        <w:tab/>
      </w:r>
      <w:r>
        <w:rPr>
          <w:rFonts w:ascii="Arial" w:cs="Arial" w:eastAsia="Arial" w:hAnsi="Arial"/>
          <w:sz w:val="16"/>
          <w:szCs w:val="16"/>
          <w:color w:val="auto"/>
        </w:rPr>
        <w:t>/s/ Darren D.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23495</wp:posOffset>
            </wp:positionV>
            <wp:extent cx="353631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87">
                      <a:extLst>
                        <a:ext uri="{28A0092B-C50C-407E-A947-70E740481C1C}"/>
                      </a:extLst>
                    </a:blip>
                    <a:srcRect/>
                    <a:stretch>
                      <a:fillRect/>
                    </a:stretch>
                  </pic:blipFill>
                  <pic:spPr bwMode="auto">
                    <a:xfrm>
                      <a:off x="0" y="0"/>
                      <a:ext cx="3536315" cy="8255"/>
                    </a:xfrm>
                    <a:prstGeom prst="rect">
                      <a:avLst/>
                    </a:prstGeom>
                    <a:noFill/>
                  </pic:spPr>
                </pic:pic>
              </a:graphicData>
            </a:graphic>
          </wp:anchor>
        </w:drawing>
      </w:r>
    </w:p>
    <w:p>
      <w:pPr>
        <w:spacing w:after="0" w:line="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Darren D. Hawkins</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353060</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31.2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EXCHANGE ACT RULES 13a-14 AND 15d-14,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SARBANES-OXLEY ACT OF 2002</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I, Daniel L. Olivier, certify that:</w:t>
      </w:r>
    </w:p>
    <w:p>
      <w:pPr>
        <w:spacing w:after="0" w:line="171" w:lineRule="exact"/>
        <w:rPr>
          <w:sz w:val="20"/>
          <w:szCs w:val="20"/>
          <w:color w:val="auto"/>
        </w:rPr>
      </w:pPr>
    </w:p>
    <w:p>
      <w:pPr>
        <w:ind w:left="760" w:hanging="752"/>
        <w:spacing w:after="0"/>
        <w:tabs>
          <w:tab w:leader="none" w:pos="7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report on Form 10-K of Yellow Corporation;</w:t>
      </w:r>
    </w:p>
    <w:p>
      <w:pPr>
        <w:spacing w:after="0" w:line="170" w:lineRule="exact"/>
        <w:rPr>
          <w:rFonts w:ascii="Arial" w:cs="Arial" w:eastAsia="Arial" w:hAnsi="Arial"/>
          <w:sz w:val="18"/>
          <w:szCs w:val="18"/>
          <w:color w:val="auto"/>
        </w:rPr>
      </w:pPr>
    </w:p>
    <w:p>
      <w:pPr>
        <w:jc w:val="both"/>
        <w:ind w:left="760" w:hanging="752"/>
        <w:spacing w:after="0" w:line="263" w:lineRule="auto"/>
        <w:tabs>
          <w:tab w:leader="none" w:pos="7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8" w:lineRule="exact"/>
        <w:rPr>
          <w:rFonts w:ascii="Arial" w:cs="Arial" w:eastAsia="Arial" w:hAnsi="Arial"/>
          <w:sz w:val="18"/>
          <w:szCs w:val="18"/>
          <w:color w:val="auto"/>
        </w:rPr>
      </w:pPr>
    </w:p>
    <w:p>
      <w:pPr>
        <w:ind w:left="760" w:hanging="752"/>
        <w:spacing w:after="0" w:line="307" w:lineRule="auto"/>
        <w:tabs>
          <w:tab w:leader="none" w:pos="7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Arial" w:cs="Arial" w:eastAsia="Arial" w:hAnsi="Arial"/>
          <w:sz w:val="17"/>
          <w:szCs w:val="17"/>
          <w:color w:val="auto"/>
        </w:rPr>
      </w:pPr>
    </w:p>
    <w:p>
      <w:pPr>
        <w:jc w:val="both"/>
        <w:ind w:left="760" w:hanging="752"/>
        <w:spacing w:after="0" w:line="263" w:lineRule="auto"/>
        <w:tabs>
          <w:tab w:leader="none" w:pos="7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8" w:lineRule="exact"/>
        <w:rPr>
          <w:rFonts w:ascii="Arial" w:cs="Arial" w:eastAsia="Arial" w:hAnsi="Arial"/>
          <w:sz w:val="18"/>
          <w:szCs w:val="18"/>
          <w:color w:val="auto"/>
        </w:rPr>
      </w:pPr>
    </w:p>
    <w:p>
      <w:pPr>
        <w:jc w:val="both"/>
        <w:ind w:left="1500" w:hanging="743"/>
        <w:spacing w:after="0" w:line="263" w:lineRule="auto"/>
        <w:tabs>
          <w:tab w:leader="none" w:pos="15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8" w:lineRule="exact"/>
        <w:rPr>
          <w:rFonts w:ascii="Arial" w:cs="Arial" w:eastAsia="Arial" w:hAnsi="Arial"/>
          <w:sz w:val="18"/>
          <w:szCs w:val="18"/>
          <w:color w:val="auto"/>
        </w:rPr>
      </w:pPr>
    </w:p>
    <w:p>
      <w:pPr>
        <w:jc w:val="both"/>
        <w:ind w:left="1500" w:hanging="743"/>
        <w:spacing w:after="0" w:line="263" w:lineRule="auto"/>
        <w:tabs>
          <w:tab w:leader="none" w:pos="15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8" w:lineRule="exact"/>
        <w:rPr>
          <w:rFonts w:ascii="Arial" w:cs="Arial" w:eastAsia="Arial" w:hAnsi="Arial"/>
          <w:sz w:val="18"/>
          <w:szCs w:val="18"/>
          <w:color w:val="auto"/>
        </w:rPr>
      </w:pPr>
    </w:p>
    <w:p>
      <w:pPr>
        <w:jc w:val="both"/>
        <w:ind w:left="1500" w:hanging="743"/>
        <w:spacing w:after="0" w:line="341" w:lineRule="auto"/>
        <w:tabs>
          <w:tab w:leader="none" w:pos="1500" w:val="left"/>
        </w:tabs>
        <w:numPr>
          <w:ilvl w:val="1"/>
          <w:numId w:val="5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0" w:lineRule="exact"/>
        <w:rPr>
          <w:rFonts w:ascii="Arial" w:cs="Arial" w:eastAsia="Arial" w:hAnsi="Arial"/>
          <w:sz w:val="16"/>
          <w:szCs w:val="16"/>
          <w:color w:val="auto"/>
        </w:rPr>
      </w:pPr>
    </w:p>
    <w:p>
      <w:pPr>
        <w:jc w:val="both"/>
        <w:ind w:left="1500" w:hanging="743"/>
        <w:spacing w:after="0" w:line="263" w:lineRule="auto"/>
        <w:tabs>
          <w:tab w:leader="none" w:pos="15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8" w:lineRule="exact"/>
        <w:rPr>
          <w:rFonts w:ascii="Arial" w:cs="Arial" w:eastAsia="Arial" w:hAnsi="Arial"/>
          <w:sz w:val="18"/>
          <w:szCs w:val="18"/>
          <w:color w:val="auto"/>
        </w:rPr>
      </w:pPr>
    </w:p>
    <w:p>
      <w:pPr>
        <w:ind w:left="760" w:hanging="752"/>
        <w:spacing w:after="0" w:line="307" w:lineRule="auto"/>
        <w:tabs>
          <w:tab w:leader="none" w:pos="7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7"/>
          <w:szCs w:val="17"/>
          <w:color w:val="auto"/>
        </w:rPr>
      </w:pPr>
    </w:p>
    <w:p>
      <w:pPr>
        <w:ind w:left="1500" w:hanging="743"/>
        <w:spacing w:after="0" w:line="307" w:lineRule="auto"/>
        <w:tabs>
          <w:tab w:leader="none" w:pos="1500" w:val="left"/>
        </w:tabs>
        <w:numPr>
          <w:ilvl w:val="1"/>
          <w:numId w:val="5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7"/>
          <w:szCs w:val="17"/>
          <w:color w:val="auto"/>
        </w:rPr>
      </w:pPr>
    </w:p>
    <w:p>
      <w:pPr>
        <w:ind w:left="1500" w:hanging="743"/>
        <w:spacing w:after="0" w:line="277" w:lineRule="auto"/>
        <w:tabs>
          <w:tab w:leader="none" w:pos="15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3" w:lineRule="exact"/>
        <w:rPr>
          <w:sz w:val="20"/>
          <w:szCs w:val="20"/>
          <w:color w:val="auto"/>
        </w:rPr>
      </w:pPr>
    </w:p>
    <w:p>
      <w:pPr>
        <w:ind w:left="60"/>
        <w:spacing w:after="0"/>
        <w:tabs>
          <w:tab w:leader="none" w:pos="5700" w:val="left"/>
        </w:tabs>
        <w:rPr>
          <w:sz w:val="20"/>
          <w:szCs w:val="20"/>
          <w:color w:val="auto"/>
        </w:rPr>
      </w:pPr>
      <w:r>
        <w:rPr>
          <w:rFonts w:ascii="Arial" w:cs="Arial" w:eastAsia="Arial" w:hAnsi="Arial"/>
          <w:sz w:val="18"/>
          <w:szCs w:val="18"/>
          <w:color w:val="auto"/>
        </w:rPr>
        <w:t>Date: February 9, 2023</w:t>
      </w:r>
      <w:r>
        <w:rPr>
          <w:sz w:val="20"/>
          <w:szCs w:val="20"/>
          <w:color w:val="auto"/>
        </w:rPr>
        <w:tab/>
      </w:r>
      <w:r>
        <w:rPr>
          <w:rFonts w:ascii="Arial" w:cs="Arial" w:eastAsia="Arial" w:hAnsi="Arial"/>
          <w:sz w:val="17"/>
          <w:szCs w:val="17"/>
          <w:color w:val="auto"/>
        </w:rPr>
        <w:t>/s/ Daniel L. Olivier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23495</wp:posOffset>
            </wp:positionV>
            <wp:extent cx="353631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89">
                      <a:extLst>
                        <a:ext uri="{28A0092B-C50C-407E-A947-70E740481C1C}"/>
                      </a:extLst>
                    </a:blip>
                    <a:srcRect/>
                    <a:stretch>
                      <a:fillRect/>
                    </a:stretch>
                  </pic:blipFill>
                  <pic:spPr bwMode="auto">
                    <a:xfrm>
                      <a:off x="0" y="0"/>
                      <a:ext cx="3536315" cy="8255"/>
                    </a:xfrm>
                    <a:prstGeom prst="rect">
                      <a:avLst/>
                    </a:prstGeom>
                    <a:noFill/>
                  </pic:spPr>
                </pic:pic>
              </a:graphicData>
            </a:graphic>
          </wp:anchor>
        </w:drawing>
      </w:r>
    </w:p>
    <w:p>
      <w:pPr>
        <w:spacing w:after="0" w:line="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Daniel L. Olivier</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 (Principal Financial Officer and Principal</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344170</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 connection with the annual report of Yellow Corporation on Form 10-K for the year ended December 31, 2022, as filed with the Securities and Exchange Commission on the date hereof (the “Report”), I, Darren D. Hawkins, Chief Executive Officer of Yellow Corporation, certify, pursuant to 18 U.S.C. Section 1350, as adopted pursuant to Section 906 of the Sarbanes-Oxley Act of 2002, that:</w:t>
      </w:r>
    </w:p>
    <w:p>
      <w:pPr>
        <w:spacing w:after="0" w:line="75" w:lineRule="exact"/>
        <w:rPr>
          <w:sz w:val="20"/>
          <w:szCs w:val="20"/>
          <w:color w:val="auto"/>
        </w:rPr>
      </w:pPr>
    </w:p>
    <w:p>
      <w:pPr>
        <w:ind w:left="1020" w:hanging="503"/>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6"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Yellow Corporation.</w:t>
      </w:r>
    </w:p>
    <w:p>
      <w:pPr>
        <w:spacing w:after="0" w:line="183" w:lineRule="exact"/>
        <w:rPr>
          <w:sz w:val="20"/>
          <w:szCs w:val="20"/>
          <w:color w:val="auto"/>
        </w:rPr>
      </w:pPr>
    </w:p>
    <w:p>
      <w:pPr>
        <w:ind w:left="20"/>
        <w:spacing w:after="0"/>
        <w:tabs>
          <w:tab w:leader="none" w:pos="5740" w:val="left"/>
        </w:tabs>
        <w:rPr>
          <w:sz w:val="20"/>
          <w:szCs w:val="20"/>
          <w:color w:val="auto"/>
        </w:rPr>
      </w:pPr>
      <w:r>
        <w:rPr>
          <w:rFonts w:ascii="Arial" w:cs="Arial" w:eastAsia="Arial" w:hAnsi="Arial"/>
          <w:sz w:val="18"/>
          <w:szCs w:val="18"/>
          <w:color w:val="auto"/>
        </w:rPr>
        <w:t>Date: February 9, 2023</w:t>
      </w:r>
      <w:r>
        <w:rPr>
          <w:sz w:val="20"/>
          <w:szCs w:val="20"/>
          <w:color w:val="auto"/>
        </w:rPr>
        <w:tab/>
      </w:r>
      <w:r>
        <w:rPr>
          <w:rFonts w:ascii="Arial" w:cs="Arial" w:eastAsia="Arial" w:hAnsi="Arial"/>
          <w:sz w:val="16"/>
          <w:szCs w:val="16"/>
          <w:color w:val="auto"/>
        </w:rPr>
        <w:t>/s/ Darren D.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3644265</wp:posOffset>
            </wp:positionH>
            <wp:positionV relativeFrom="paragraph">
              <wp:posOffset>23495</wp:posOffset>
            </wp:positionV>
            <wp:extent cx="349377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91">
                      <a:extLst>
                        <a:ext uri="{28A0092B-C50C-407E-A947-70E740481C1C}"/>
                      </a:extLst>
                    </a:blip>
                    <a:srcRect/>
                    <a:stretch>
                      <a:fillRect/>
                    </a:stretch>
                  </pic:blipFill>
                  <pic:spPr bwMode="auto">
                    <a:xfrm>
                      <a:off x="0" y="0"/>
                      <a:ext cx="3493770" cy="8255"/>
                    </a:xfrm>
                    <a:prstGeom prst="rect">
                      <a:avLst/>
                    </a:prstGeom>
                    <a:noFill/>
                  </pic:spPr>
                </pic:pic>
              </a:graphicData>
            </a:graphic>
          </wp:anchor>
        </w:drawing>
      </w:r>
    </w:p>
    <w:p>
      <w:pPr>
        <w:spacing w:after="0" w:line="29"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Darren D. Hawkins</w:t>
      </w:r>
    </w:p>
    <w:p>
      <w:pPr>
        <w:spacing w:after="0" w:line="36"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353060</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annual report of Yellow Corporation on Form 10-K for the year ended December 31, 2022, as filed with the Securities and Exchange Commission on the date hereof (the “Report”), I, Daniel L. Olivier, Chief Financial Officer of Yellow Corporation, certify, pursuant to 18 U.S.C. Section 1350, as adopted pursuant to Section 906 of the Sarbanes-Oxley Act of 2002, that:</w:t>
      </w:r>
    </w:p>
    <w:p>
      <w:pPr>
        <w:spacing w:after="0" w:line="75" w:lineRule="exact"/>
        <w:rPr>
          <w:sz w:val="20"/>
          <w:szCs w:val="20"/>
          <w:color w:val="auto"/>
        </w:rPr>
      </w:pPr>
    </w:p>
    <w:p>
      <w:pPr>
        <w:ind w:left="1020" w:hanging="503"/>
        <w:spacing w:after="0"/>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6"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Yellow Corporation.</w:t>
      </w:r>
    </w:p>
    <w:p>
      <w:pPr>
        <w:spacing w:after="0" w:line="183" w:lineRule="exact"/>
        <w:rPr>
          <w:sz w:val="20"/>
          <w:szCs w:val="20"/>
          <w:color w:val="auto"/>
        </w:rPr>
      </w:pPr>
    </w:p>
    <w:p>
      <w:pPr>
        <w:ind w:left="20"/>
        <w:spacing w:after="0"/>
        <w:tabs>
          <w:tab w:leader="none" w:pos="5740" w:val="left"/>
        </w:tabs>
        <w:rPr>
          <w:sz w:val="20"/>
          <w:szCs w:val="20"/>
          <w:color w:val="auto"/>
        </w:rPr>
      </w:pPr>
      <w:r>
        <w:rPr>
          <w:rFonts w:ascii="Arial" w:cs="Arial" w:eastAsia="Arial" w:hAnsi="Arial"/>
          <w:sz w:val="18"/>
          <w:szCs w:val="18"/>
          <w:color w:val="auto"/>
        </w:rPr>
        <w:t>Date: February 9, 2023</w:t>
      </w:r>
      <w:r>
        <w:rPr>
          <w:sz w:val="20"/>
          <w:szCs w:val="20"/>
          <w:color w:val="auto"/>
        </w:rPr>
        <w:tab/>
      </w:r>
      <w:r>
        <w:rPr>
          <w:rFonts w:ascii="Arial" w:cs="Arial" w:eastAsia="Arial" w:hAnsi="Arial"/>
          <w:sz w:val="17"/>
          <w:szCs w:val="17"/>
          <w:color w:val="auto"/>
        </w:rPr>
        <w:t>/s/ Daniel L. Olivier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3644265</wp:posOffset>
            </wp:positionH>
            <wp:positionV relativeFrom="paragraph">
              <wp:posOffset>23495</wp:posOffset>
            </wp:positionV>
            <wp:extent cx="349377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93">
                      <a:extLst>
                        <a:ext uri="{28A0092B-C50C-407E-A947-70E740481C1C}"/>
                      </a:extLst>
                    </a:blip>
                    <a:srcRect/>
                    <a:stretch>
                      <a:fillRect/>
                    </a:stretch>
                  </pic:blipFill>
                  <pic:spPr bwMode="auto">
                    <a:xfrm>
                      <a:off x="0" y="0"/>
                      <a:ext cx="3493770" cy="8255"/>
                    </a:xfrm>
                    <a:prstGeom prst="rect">
                      <a:avLst/>
                    </a:prstGeom>
                    <a:noFill/>
                  </pic:spPr>
                </pic:pic>
              </a:graphicData>
            </a:graphic>
          </wp:anchor>
        </w:drawing>
      </w:r>
    </w:p>
    <w:p>
      <w:pPr>
        <w:spacing w:after="0" w:line="29"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Daniel L. Olivier</w:t>
      </w:r>
    </w:p>
    <w:p>
      <w:pPr>
        <w:spacing w:after="0" w:line="36"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Chief Financial Officer (Principal Financial Officer and Principal</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344170</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0" w:name="page91"/>
    <w:bookmarkEnd w:id="9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
      <w:numFmt w:val="bullet"/>
      <w:start w:val="1"/>
    </w:lvl>
  </w:abstractNum>
  <w:abstractNum w:abstractNumId="6">
    <w:nsid w:val="8138641"/>
    <w:multiLevelType w:val="hybridMultilevel"/>
    <w:lvl w:ilvl="0">
      <w:lvlJc w:val="left"/>
      <w:lvlText w:val="•"/>
      <w:numFmt w:val="bullet"/>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
      <w:numFmt w:val="bullet"/>
      <w:start w:val="1"/>
    </w:lvl>
  </w:abstractNum>
  <w:abstractNum w:abstractNumId="9">
    <w:nsid w:val="737B8DDC"/>
    <w:multiLevelType w:val="hybridMultilevel"/>
    <w:lvl w:ilvl="0">
      <w:lvlJc w:val="left"/>
      <w:lvlText w:val="•"/>
      <w:numFmt w:val="bullet"/>
      <w:start w:val="1"/>
    </w:lvl>
  </w:abstractNum>
  <w:abstractNum w:abstractNumId="10">
    <w:nsid w:val="6CEAF087"/>
    <w:multiLevelType w:val="hybridMultilevel"/>
    <w:lvl w:ilvl="0">
      <w:lvlJc w:val="left"/>
      <w:lvlText w:val="•"/>
      <w:numFmt w:val="bullet"/>
      <w:start w:val="1"/>
    </w:lvl>
  </w:abstractNum>
  <w:abstractNum w:abstractNumId="11">
    <w:nsid w:val="22221A70"/>
    <w:multiLevelType w:val="hybridMultilevel"/>
    <w:lvl w:ilvl="0">
      <w:lvlJc w:val="left"/>
      <w:lvlText w:val="o"/>
      <w:numFmt w:val="bullet"/>
      <w:start w:val="1"/>
    </w:lvl>
  </w:abstractNum>
  <w:abstractNum w:abstractNumId="12">
    <w:nsid w:val="4516DDE9"/>
    <w:multiLevelType w:val="hybridMultilevel"/>
    <w:lvl w:ilvl="0">
      <w:lvlJc w:val="left"/>
      <w:lvlText w:val="o"/>
      <w:numFmt w:val="bullet"/>
      <w:start w:val="1"/>
    </w:lvl>
  </w:abstractNum>
  <w:abstractNum w:abstractNumId="13">
    <w:nsid w:val="3006C83E"/>
    <w:multiLevelType w:val="hybridMultilevel"/>
    <w:lvl w:ilvl="0">
      <w:lvlJc w:val="left"/>
      <w:lvlText w:val="(%1)"/>
      <w:numFmt w:val="lowerLetter"/>
      <w:start w:val="1"/>
    </w:lvl>
  </w:abstractNum>
  <w:abstractNum w:abstractNumId="14">
    <w:nsid w:val="614FD4A1"/>
    <w:multiLevelType w:val="hybridMultilevel"/>
    <w:lvl w:ilvl="0">
      <w:lvlJc w:val="left"/>
      <w:lvlText w:val="(%1)"/>
      <w:numFmt w:val="lowerLetter"/>
      <w:start w:val="2"/>
    </w:lvl>
  </w:abstractNum>
  <w:abstractNum w:abstractNumId="15">
    <w:nsid w:val="419AC241"/>
    <w:multiLevelType w:val="hybridMultilevel"/>
    <w:lvl w:ilvl="0">
      <w:lvlJc w:val="left"/>
      <w:lvlText w:val="(%1)"/>
      <w:numFmt w:val="lowerLetter"/>
      <w:start w:val="1"/>
    </w:lvl>
  </w:abstractNum>
  <w:abstractNum w:abstractNumId="16">
    <w:nsid w:val="5577F8E1"/>
    <w:multiLevelType w:val="hybridMultilevel"/>
    <w:lvl w:ilvl="0">
      <w:lvlJc w:val="left"/>
      <w:lvlText w:val="(%1)"/>
      <w:numFmt w:val="lowerLetter"/>
      <w:start w:val="2"/>
    </w:lvl>
  </w:abstractNum>
  <w:abstractNum w:abstractNumId="17">
    <w:nsid w:val="440BADFC"/>
    <w:multiLevelType w:val="hybridMultilevel"/>
    <w:lvl w:ilvl="0">
      <w:lvlJc w:val="left"/>
      <w:lvlText w:val="(%1)"/>
      <w:numFmt w:val="lowerLetter"/>
      <w:start w:val="1"/>
    </w:lvl>
  </w:abstractNum>
  <w:abstractNum w:abstractNumId="18">
    <w:nsid w:val="5072367"/>
    <w:multiLevelType w:val="hybridMultilevel"/>
    <w:lvl w:ilvl="0">
      <w:lvlJc w:val="left"/>
      <w:lvlText w:val="(%1)"/>
      <w:numFmt w:val="lowerLetter"/>
      <w:start w:val="1"/>
    </w:lvl>
  </w:abstractNum>
  <w:abstractNum w:abstractNumId="19">
    <w:nsid w:val="3804823E"/>
    <w:multiLevelType w:val="hybridMultilevel"/>
    <w:lvl w:ilvl="0">
      <w:lvlJc w:val="left"/>
      <w:lvlText w:val="(%1)"/>
      <w:numFmt w:val="lowerLetter"/>
      <w:start w:val="1"/>
    </w:lvl>
  </w:abstractNum>
  <w:abstractNum w:abstractNumId="20">
    <w:nsid w:val="77465F01"/>
    <w:multiLevelType w:val="hybridMultilevel"/>
    <w:lvl w:ilvl="0">
      <w:lvlJc w:val="left"/>
      <w:lvlText w:val="(%1)"/>
      <w:numFmt w:val="lowerLetter"/>
      <w:start w:val="1"/>
    </w:lvl>
  </w:abstractNum>
  <w:abstractNum w:abstractNumId="21">
    <w:nsid w:val="7724C67E"/>
    <w:multiLevelType w:val="hybridMultilevel"/>
    <w:lvl w:ilvl="0">
      <w:lvlJc w:val="left"/>
      <w:lvlText w:val="(%1)"/>
      <w:numFmt w:val="lowerLetter"/>
      <w:start w:val="1"/>
    </w:lvl>
  </w:abstractNum>
  <w:abstractNum w:abstractNumId="22">
    <w:nsid w:val="5C482A97"/>
    <w:multiLevelType w:val="hybridMultilevel"/>
    <w:lvl w:ilvl="0">
      <w:lvlJc w:val="left"/>
      <w:lvlText w:val="•"/>
      <w:numFmt w:val="bullet"/>
      <w:start w:val="1"/>
    </w:lvl>
  </w:abstractNum>
  <w:abstractNum w:abstractNumId="23">
    <w:nsid w:val="2463B9EA"/>
    <w:multiLevelType w:val="hybridMultilevel"/>
    <w:lvl w:ilvl="0">
      <w:lvlJc w:val="left"/>
      <w:lvlText w:val="(%1)"/>
      <w:numFmt w:val="lowerLetter"/>
      <w:start w:val="1"/>
    </w:lvl>
  </w:abstractNum>
  <w:abstractNum w:abstractNumId="24">
    <w:nsid w:val="5E884ADC"/>
    <w:multiLevelType w:val="hybridMultilevel"/>
    <w:lvl w:ilvl="0">
      <w:lvlJc w:val="left"/>
      <w:lvlText w:val="(%1)"/>
      <w:numFmt w:val="lowerLetter"/>
      <w:start w:val="1"/>
    </w:lvl>
  </w:abstractNum>
  <w:abstractNum w:abstractNumId="25">
    <w:nsid w:val="51EAD36B"/>
    <w:multiLevelType w:val="hybridMultilevel"/>
    <w:lvl w:ilvl="0">
      <w:lvlJc w:val="left"/>
      <w:lvlText w:val="(%1)"/>
      <w:numFmt w:val="lowerLetter"/>
      <w:start w:val="1"/>
    </w:lvl>
  </w:abstractNum>
  <w:abstractNum w:abstractNumId="26">
    <w:nsid w:val="2D517796"/>
    <w:multiLevelType w:val="hybridMultilevel"/>
    <w:lvl w:ilvl="0">
      <w:lvlJc w:val="left"/>
      <w:lvlText w:val="(%1)"/>
      <w:numFmt w:val="lowerLetter"/>
      <w:start w:val="1"/>
    </w:lvl>
  </w:abstractNum>
  <w:abstractNum w:abstractNumId="27">
    <w:nsid w:val="580BD78F"/>
    <w:multiLevelType w:val="hybridMultilevel"/>
    <w:lvl w:ilvl="0">
      <w:lvlJc w:val="left"/>
      <w:lvlText w:val="(%1)"/>
      <w:numFmt w:val="lowerLetter"/>
      <w:start w:val="1"/>
    </w:lvl>
  </w:abstractNum>
  <w:abstractNum w:abstractNumId="28">
    <w:nsid w:val="153EA438"/>
    <w:multiLevelType w:val="hybridMultilevel"/>
    <w:lvl w:ilvl="0">
      <w:lvlJc w:val="left"/>
      <w:lvlText w:val="%1)"/>
      <w:numFmt w:val="lowerLetter"/>
      <w:start w:val="1"/>
    </w:lvl>
  </w:abstractNum>
  <w:abstractNum w:abstractNumId="29">
    <w:nsid w:val="3855585C"/>
    <w:multiLevelType w:val="hybridMultilevel"/>
    <w:lvl w:ilvl="0">
      <w:lvlJc w:val="left"/>
      <w:lvlText w:val="(%1)"/>
      <w:numFmt w:val="lowerLetter"/>
      <w:start w:val="1"/>
    </w:lvl>
  </w:abstractNum>
  <w:abstractNum w:abstractNumId="30">
    <w:nsid w:val="70A64E2A"/>
    <w:multiLevelType w:val="hybridMultilevel"/>
    <w:lvl w:ilvl="0">
      <w:lvlJc w:val="left"/>
      <w:lvlText w:val="(%1)"/>
      <w:numFmt w:val="lowerLetter"/>
      <w:start w:val="1"/>
    </w:lvl>
  </w:abstractNum>
  <w:abstractNum w:abstractNumId="31">
    <w:nsid w:val="6A2342EC"/>
    <w:multiLevelType w:val="hybridMultilevel"/>
    <w:lvl w:ilvl="0">
      <w:lvlJc w:val="left"/>
      <w:lvlText w:val="(%1)"/>
      <w:numFmt w:val="lowerLetter"/>
      <w:start w:val="1"/>
    </w:lvl>
  </w:abstractNum>
  <w:abstractNum w:abstractNumId="32">
    <w:nsid w:val="2A487CB0"/>
    <w:multiLevelType w:val="hybridMultilevel"/>
    <w:lvl w:ilvl="0">
      <w:lvlJc w:val="left"/>
      <w:lvlText w:val="%1)"/>
      <w:numFmt w:val="lowerLetter"/>
      <w:start w:val="1"/>
    </w:lvl>
  </w:abstractNum>
  <w:abstractNum w:abstractNumId="33">
    <w:nsid w:val="1D4ED43B"/>
    <w:multiLevelType w:val="hybridMultilevel"/>
    <w:lvl w:ilvl="0">
      <w:lvlJc w:val="left"/>
      <w:lvlText w:val="•"/>
      <w:numFmt w:val="bullet"/>
      <w:start w:val="1"/>
    </w:lvl>
  </w:abstractNum>
  <w:abstractNum w:abstractNumId="34">
    <w:nsid w:val="725A06FB"/>
    <w:multiLevelType w:val="hybridMultilevel"/>
    <w:lvl w:ilvl="0">
      <w:lvlJc w:val="left"/>
      <w:lvlText w:val="*"/>
      <w:numFmt w:val="bullet"/>
      <w:start w:val="1"/>
    </w:lvl>
    <w:lvl w:ilvl="1">
      <w:lvlJc w:val="left"/>
      <w:lvlText w:val="%2"/>
      <w:numFmt w:val="decimal"/>
      <w:start w:val="104"/>
    </w:lvl>
  </w:abstractNum>
  <w:abstractNum w:abstractNumId="35">
    <w:nsid w:val="2CD89A32"/>
    <w:multiLevelType w:val="hybridMultilevel"/>
    <w:lvl w:ilvl="0">
      <w:lvlJc w:val="left"/>
      <w:lvlText w:val="**"/>
      <w:numFmt w:val="bullet"/>
      <w:start w:val="1"/>
    </w:lvl>
    <w:lvl w:ilvl="1">
      <w:lvlJc w:val="left"/>
      <w:lvlText w:val="%2"/>
      <w:numFmt w:val="decimal"/>
      <w:start w:val="1"/>
    </w:lvl>
  </w:abstractNum>
  <w:abstractNum w:abstractNumId="36">
    <w:nsid w:val="57E4CCAF"/>
    <w:multiLevelType w:val="hybridMultilevel"/>
    <w:lvl w:ilvl="0">
      <w:lvlJc w:val="left"/>
      <w:lvlText w:val="†"/>
      <w:numFmt w:val="bullet"/>
      <w:start w:val="1"/>
    </w:lvl>
  </w:abstractNum>
  <w:abstractNum w:abstractNumId="37">
    <w:nsid w:val="7A6D8D3C"/>
    <w:multiLevelType w:val="hybridMultilevel"/>
    <w:lvl w:ilvl="0">
      <w:lvlJc w:val="left"/>
      <w:lvlText w:val="(%1)"/>
      <w:numFmt w:val="lowerRoman"/>
      <w:start w:val="4"/>
    </w:lvl>
  </w:abstractNum>
  <w:abstractNum w:abstractNumId="38">
    <w:nsid w:val="4B588F54"/>
    <w:multiLevelType w:val="hybridMultilevel"/>
    <w:lvl w:ilvl="0">
      <w:lvlJc w:val="left"/>
      <w:lvlText w:val="%1."/>
      <w:numFmt w:val="decimal"/>
      <w:start w:val="1"/>
    </w:lvl>
  </w:abstractNum>
  <w:abstractNum w:abstractNumId="39">
    <w:nsid w:val="542289EC"/>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40">
    <w:nsid w:val="6DE91B18"/>
    <w:multiLevelType w:val="hybridMultilevel"/>
    <w:lvl w:ilvl="0">
      <w:lvlJc w:val="left"/>
      <w:lvlText w:val="%1."/>
      <w:numFmt w:val="decimal"/>
      <w:start w:val="5"/>
    </w:lvl>
  </w:abstractNum>
  <w:abstractNum w:abstractNumId="41">
    <w:nsid w:val="38437FDB"/>
    <w:multiLevelType w:val="hybridMultilevel"/>
    <w:lvl w:ilvl="0">
      <w:lvlJc w:val="left"/>
      <w:lvlText w:val="(%1)"/>
      <w:numFmt w:val="lowerRoman"/>
      <w:start w:val="1"/>
    </w:lvl>
  </w:abstractNum>
  <w:abstractNum w:abstractNumId="42">
    <w:nsid w:val="7644A45C"/>
    <w:multiLevelType w:val="hybridMultilevel"/>
    <w:lvl w:ilvl="0">
      <w:lvlJc w:val="left"/>
      <w:lvlText w:val="%1"/>
      <w:numFmt w:val="lowerRoman"/>
      <w:start w:val="1"/>
    </w:lvl>
    <w:lvl w:ilvl="1">
      <w:lvlJc w:val="left"/>
      <w:lvlText w:val="(%2)"/>
      <w:numFmt w:val="lowerRoman"/>
      <w:start w:val="4"/>
    </w:lvl>
  </w:abstractNum>
  <w:abstractNum w:abstractNumId="43">
    <w:nsid w:val="32FFF902"/>
    <w:multiLevelType w:val="hybridMultilevel"/>
    <w:lvl w:ilvl="0">
      <w:lvlJc w:val="left"/>
      <w:lvlText w:val="(%1)"/>
      <w:numFmt w:val="lowerRoman"/>
      <w:start w:val="10"/>
    </w:lvl>
    <w:lvl w:ilvl="1">
      <w:lvlJc w:val="left"/>
      <w:lvlText w:val="(%2)"/>
      <w:numFmt w:val="lowerRoman"/>
      <w:start w:val="5"/>
    </w:lvl>
  </w:abstractNum>
  <w:abstractNum w:abstractNumId="44">
    <w:nsid w:val="684A481A"/>
    <w:multiLevelType w:val="hybridMultilevel"/>
    <w:lvl w:ilvl="0">
      <w:lvlJc w:val="left"/>
      <w:lvlText w:val="%1."/>
      <w:numFmt w:val="decimal"/>
      <w:start w:val="6"/>
    </w:lvl>
  </w:abstractNum>
  <w:abstractNum w:abstractNumId="45">
    <w:nsid w:val="579478FE"/>
    <w:multiLevelType w:val="hybridMultilevel"/>
    <w:lvl w:ilvl="0">
      <w:lvlJc w:val="left"/>
      <w:lvlText w:val="%1."/>
      <w:numFmt w:val="decimal"/>
      <w:start w:val="11"/>
    </w:lvl>
  </w:abstractNum>
  <w:abstractNum w:abstractNumId="46">
    <w:nsid w:val="749ABB43"/>
    <w:multiLevelType w:val="hybridMultilevel"/>
    <w:lvl w:ilvl="0">
      <w:lvlJc w:val="left"/>
      <w:lvlText w:val="%1."/>
      <w:numFmt w:val="decimal"/>
      <w:start w:val="17"/>
    </w:lvl>
  </w:abstractNum>
  <w:abstractNum w:abstractNumId="47">
    <w:nsid w:val="3DC240FB"/>
    <w:multiLevelType w:val="hybridMultilevel"/>
    <w:lvl w:ilvl="0">
      <w:lvlJc w:val="left"/>
      <w:lvlText w:val="1"/>
      <w:numFmt w:val="bullet"/>
      <w:start w:val="1"/>
    </w:lvl>
  </w:abstractNum>
  <w:abstractNum w:abstractNumId="48">
    <w:nsid w:val="1BA026FA"/>
    <w:multiLevelType w:val="hybridMultilevel"/>
    <w:lvl w:ilvl="0">
      <w:lvlJc w:val="left"/>
      <w:lvlText w:val="2"/>
      <w:numFmt w:val="bullet"/>
      <w:start w:val="1"/>
    </w:lvl>
  </w:abstractNum>
  <w:abstractNum w:abstractNumId="49">
    <w:nsid w:val="79A1DEAA"/>
    <w:multiLevelType w:val="hybridMultilevel"/>
    <w:lvl w:ilvl="0">
      <w:lvlJc w:val="left"/>
      <w:lvlText w:val="(%1)"/>
      <w:numFmt w:val="decimal"/>
      <w:start w:val="1"/>
    </w:lvl>
    <w:lvl w:ilvl="1">
      <w:lvlJc w:val="left"/>
      <w:lvlText w:val="%2."/>
      <w:numFmt w:val="lowerLetter"/>
      <w:start w:val="1"/>
    </w:lvl>
  </w:abstractNum>
  <w:abstractNum w:abstractNumId="50">
    <w:nsid w:val="75C6C33A"/>
    <w:multiLevelType w:val="hybridMultilevel"/>
    <w:lvl w:ilvl="0">
      <w:lvlJc w:val="left"/>
      <w:lvlText w:val="(%1)"/>
      <w:numFmt w:val="decimal"/>
      <w:start w:val="1"/>
    </w:lvl>
    <w:lvl w:ilvl="1">
      <w:lvlJc w:val="left"/>
      <w:lvlText w:val="%2."/>
      <w:numFmt w:val="lowerLetter"/>
      <w:start w:val="1"/>
    </w:lvl>
  </w:abstractNum>
  <w:abstractNum w:abstractNumId="51">
    <w:nsid w:val="12E685FB"/>
    <w:multiLevelType w:val="hybridMultilevel"/>
    <w:lvl w:ilvl="0">
      <w:lvlJc w:val="left"/>
      <w:lvlText w:val="(%1)"/>
      <w:numFmt w:val="decimal"/>
      <w:start w:val="1"/>
    </w:lvl>
  </w:abstractNum>
  <w:abstractNum w:abstractNumId="52">
    <w:nsid w:val="70C6A5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9" Type="http://schemas.openxmlformats.org/officeDocument/2006/relationships/image" Target="media/image301.png"/><Relationship Id="rId310" Type="http://schemas.openxmlformats.org/officeDocument/2006/relationships/image" Target="media/image302.png"/><Relationship Id="rId321" Type="http://schemas.openxmlformats.org/officeDocument/2006/relationships/image" Target="media/image303.png"/><Relationship Id="rId322" Type="http://schemas.openxmlformats.org/officeDocument/2006/relationships/image" Target="media/image304.png"/><Relationship Id="rId334" Type="http://schemas.openxmlformats.org/officeDocument/2006/relationships/image" Target="media/image305.png"/><Relationship Id="rId335" Type="http://schemas.openxmlformats.org/officeDocument/2006/relationships/image" Target="media/image306.png"/><Relationship Id="rId351" Type="http://schemas.openxmlformats.org/officeDocument/2006/relationships/image" Target="media/image307.png"/><Relationship Id="rId352" Type="http://schemas.openxmlformats.org/officeDocument/2006/relationships/image" Target="media/image308.png"/><Relationship Id="rId367" Type="http://schemas.openxmlformats.org/officeDocument/2006/relationships/image" Target="media/image309.png"/><Relationship Id="rId368" Type="http://schemas.openxmlformats.org/officeDocument/2006/relationships/image" Target="media/image310.png"/><Relationship Id="rId369" Type="http://schemas.openxmlformats.org/officeDocument/2006/relationships/image" Target="media/image311.png"/><Relationship Id="rId370" Type="http://schemas.openxmlformats.org/officeDocument/2006/relationships/image" Target="media/image312.png"/><Relationship Id="rId371" Type="http://schemas.openxmlformats.org/officeDocument/2006/relationships/image" Target="media/image313.png"/><Relationship Id="rId372" Type="http://schemas.openxmlformats.org/officeDocument/2006/relationships/image" Target="media/image314.png"/><Relationship Id="rId373" Type="http://schemas.openxmlformats.org/officeDocument/2006/relationships/image" Target="media/image315.png"/><Relationship Id="rId374" Type="http://schemas.openxmlformats.org/officeDocument/2006/relationships/image" Target="media/image316.png"/><Relationship Id="rId375" Type="http://schemas.openxmlformats.org/officeDocument/2006/relationships/image" Target="media/image317.png"/><Relationship Id="rId376" Type="http://schemas.openxmlformats.org/officeDocument/2006/relationships/image" Target="media/image318.png"/><Relationship Id="rId377" Type="http://schemas.openxmlformats.org/officeDocument/2006/relationships/image" Target="media/image319.png"/><Relationship Id="rId378" Type="http://schemas.openxmlformats.org/officeDocument/2006/relationships/image" Target="media/image320.png"/><Relationship Id="rId379" Type="http://schemas.openxmlformats.org/officeDocument/2006/relationships/image" Target="media/image321.png"/><Relationship Id="rId380" Type="http://schemas.openxmlformats.org/officeDocument/2006/relationships/image" Target="media/image322.png"/><Relationship Id="rId381" Type="http://schemas.openxmlformats.org/officeDocument/2006/relationships/image" Target="media/image323.png"/><Relationship Id="rId382" Type="http://schemas.openxmlformats.org/officeDocument/2006/relationships/image" Target="media/image324.png"/><Relationship Id="rId383" Type="http://schemas.openxmlformats.org/officeDocument/2006/relationships/image" Target="media/image325.png"/><Relationship Id="rId384" Type="http://schemas.openxmlformats.org/officeDocument/2006/relationships/image" Target="media/image326.png"/><Relationship Id="rId385" Type="http://schemas.openxmlformats.org/officeDocument/2006/relationships/image" Target="media/image327.png"/><Relationship Id="rId386" Type="http://schemas.openxmlformats.org/officeDocument/2006/relationships/image" Target="media/image328.png"/><Relationship Id="rId387" Type="http://schemas.openxmlformats.org/officeDocument/2006/relationships/image" Target="media/image329.png"/><Relationship Id="rId388" Type="http://schemas.openxmlformats.org/officeDocument/2006/relationships/image" Target="media/image330.png"/><Relationship Id="rId389" Type="http://schemas.openxmlformats.org/officeDocument/2006/relationships/image" Target="media/image331.png"/><Relationship Id="rId390" Type="http://schemas.openxmlformats.org/officeDocument/2006/relationships/image" Target="media/image332.png"/><Relationship Id="rId391" Type="http://schemas.openxmlformats.org/officeDocument/2006/relationships/image" Target="media/image333.png"/><Relationship Id="rId392" Type="http://schemas.openxmlformats.org/officeDocument/2006/relationships/image" Target="media/image334.png"/><Relationship Id="rId393" Type="http://schemas.openxmlformats.org/officeDocument/2006/relationships/image" Target="media/image335.png"/><Relationship Id="rId394" Type="http://schemas.openxmlformats.org/officeDocument/2006/relationships/image" Target="media/image336.png"/><Relationship Id="rId308" Type="http://schemas.openxmlformats.org/officeDocument/2006/relationships/hyperlink" Target="https://www.sec.gov/Archives/edgar/data/716006/000119312511250227/d233184dex31.htm" TargetMode="External"/><Relationship Id="rId311" Type="http://schemas.openxmlformats.org/officeDocument/2006/relationships/hyperlink" Target="https://www.sec.gov/Archives/edgar/data/0000716006/000119312511196217/d8k.htm" TargetMode="External"/><Relationship Id="rId312" Type="http://schemas.openxmlformats.org/officeDocument/2006/relationships/hyperlink" Target="https://www.sec.gov/Archives/edgar/data/716006/000119312514102367/d695445dex31.htm" TargetMode="External"/><Relationship Id="rId313" Type="http://schemas.openxmlformats.org/officeDocument/2006/relationships/hyperlink" Target="https://www.sec.gov/Archives/edgar/data/716006/000156459021004307/yrcw-ex31_133.htm" TargetMode="External"/><Relationship Id="rId314" Type="http://schemas.openxmlformats.org/officeDocument/2006/relationships/hyperlink" Target="https://www.sec.gov/Archives/edgar/data/716006/000156459021004307/yrcw-ex32_515.htm" TargetMode="External"/><Relationship Id="rId315" Type="http://schemas.openxmlformats.org/officeDocument/2006/relationships/hyperlink" Target="https://www.sec.gov/Archives/edgar/data/716006/000119312508025469/dex101.htm" TargetMode="External"/><Relationship Id="rId316" Type="http://schemas.openxmlformats.org/officeDocument/2006/relationships/hyperlink" Target="https://www.sec.gov/Archives/edgar/data/716006/000119312509148794/dex101.htm" TargetMode="External"/><Relationship Id="rId317" Type="http://schemas.openxmlformats.org/officeDocument/2006/relationships/hyperlink" Target="https://www.sec.gov/Archives/edgar/data/716006/000119312510219854/dex101.htm" TargetMode="External"/><Relationship Id="rId318" Type="http://schemas.openxmlformats.org/officeDocument/2006/relationships/hyperlink" Target="https://www.sec.gov/Archives/edgar/data/716006/000119312511066014/dex1034.htm" TargetMode="External"/><Relationship Id="rId319" Type="http://schemas.openxmlformats.org/officeDocument/2006/relationships/hyperlink" Target="https://www.sec.gov/Archives/edgar/data/716006/000119312514043473/d672613dex101.htm" TargetMode="External"/><Relationship Id="rId320" Type="http://schemas.openxmlformats.org/officeDocument/2006/relationships/hyperlink" Target="https://www.sec.gov/Archives/edgar/data/716006/000071600619000010/yrcw-2019630xex101.htm" TargetMode="External"/><Relationship Id="rId323" Type="http://schemas.openxmlformats.org/officeDocument/2006/relationships/hyperlink" Target="https://www.sec.gov/Archives/edgar/data/716006/000119312514031213/d667949dex101.htm" TargetMode="External"/><Relationship Id="rId324" Type="http://schemas.openxmlformats.org/officeDocument/2006/relationships/hyperlink" Target="https://www.sec.gov/Archives/edgar/data/716006/000119312514031213/d667949dex102.htm" TargetMode="External"/><Relationship Id="rId325" Type="http://schemas.openxmlformats.org/officeDocument/2006/relationships/hyperlink" Target="https://www.sec.gov/Archives/edgar/data/716006/000119312518026584/d520490dex101.htm" TargetMode="External"/><Relationship Id="rId326" Type="http://schemas.openxmlformats.org/officeDocument/2006/relationships/hyperlink" Target="https://www.sec.gov/Archives/edgar/data/716006/000071600619000012/yrcw-2019930xex101.htm" TargetMode="External"/><Relationship Id="rId327" Type="http://schemas.openxmlformats.org/officeDocument/2006/relationships/hyperlink" Target="https://www.sec.gov/Archives/edgar/data/0000716006/000156459020024217/yrcw-ex101_587.htm" TargetMode="External"/><Relationship Id="rId328" Type="http://schemas.openxmlformats.org/officeDocument/2006/relationships/hyperlink" Target="https://www.sec.gov/Archives/edgar/data/716006/000156459020035521/yrcw-ex108_590.htm" TargetMode="External"/><Relationship Id="rId329" Type="http://schemas.openxmlformats.org/officeDocument/2006/relationships/hyperlink" Target="https://www.sec.gov/Archives/edgar/data/716006/000071600614000006/yrcw-20131231xex1011.htm" TargetMode="External"/><Relationship Id="rId330" Type="http://schemas.openxmlformats.org/officeDocument/2006/relationships/hyperlink" Target="https://www.sec.gov/Archives/edgar/data/716006/000119312515329162/d79434dex102.htm" TargetMode="External"/><Relationship Id="rId331" Type="http://schemas.openxmlformats.org/officeDocument/2006/relationships/hyperlink" Target="https://www.sec.gov/Archives/edgar/data/716006/000119312516638425/d210822dex101.htm" TargetMode="External"/><Relationship Id="rId332" Type="http://schemas.openxmlformats.org/officeDocument/2006/relationships/hyperlink" Target="https://www.sec.gov/Archives/edgar/data/716006/000119312518026584/d520490dex102.htm" TargetMode="External"/><Relationship Id="rId333" Type="http://schemas.openxmlformats.org/officeDocument/2006/relationships/hyperlink" Target="https://www.sec.gov/Archives/edgar/data/716006/000071600619000012/yrcw-2019930xex102.htm" TargetMode="External"/><Relationship Id="rId336" Type="http://schemas.openxmlformats.org/officeDocument/2006/relationships/hyperlink" Target="https://www.sec.gov/Archives/edgar/data/716006/000156459020035521/yrcw-ex106_589.htm" TargetMode="External"/><Relationship Id="rId337" Type="http://schemas.openxmlformats.org/officeDocument/2006/relationships/hyperlink" Target="https://www.sec.gov/Archives/edgar/data/716006/000095017022021218/yell-ex10_1.htm" TargetMode="External"/><Relationship Id="rId338" Type="http://schemas.openxmlformats.org/officeDocument/2006/relationships/hyperlink" Target="https://www.sec.gov/Archives/edgar/data/716006/000156459020035521/yrcw-ex104_568.htm" TargetMode="External"/><Relationship Id="rId339" Type="http://schemas.openxmlformats.org/officeDocument/2006/relationships/hyperlink" Target="https://www.sec.gov/Archives/edgar/data/716006/000156459020035521/yrcw-ex105_567.htm" TargetMode="External"/><Relationship Id="rId340" Type="http://schemas.openxmlformats.org/officeDocument/2006/relationships/hyperlink" Target="https://www.sec.gov/Archives/edgar/data/0000716006/000119312520188904/d48416dex101.htm" TargetMode="External"/><Relationship Id="rId341" Type="http://schemas.openxmlformats.org/officeDocument/2006/relationships/hyperlink" Target="https://www.sec.gov/Archives/edgar/data/716006/000156459020035521/yrcw-ex102_570.htm" TargetMode="External"/><Relationship Id="rId342" Type="http://schemas.openxmlformats.org/officeDocument/2006/relationships/hyperlink" Target="https://www.sec.gov/Archives/edgar/data/716006/000156459020035521/yrcw-ex103_569.htm" TargetMode="External"/><Relationship Id="rId343" Type="http://schemas.openxmlformats.org/officeDocument/2006/relationships/hyperlink" Target="https://www.sec.gov/Archives/edgar/data/716006/000095017022000779/yell-ex10_101.htm" TargetMode="External"/><Relationship Id="rId344" Type="http://schemas.openxmlformats.org/officeDocument/2006/relationships/hyperlink" Target="https://www.sec.gov/Archives/edgar/data/716006/000071600615000043/yrcw-2015630xex102.htm" TargetMode="External"/><Relationship Id="rId345" Type="http://schemas.openxmlformats.org/officeDocument/2006/relationships/hyperlink" Target="https://www.sec.gov/Archives/edgar/data/716006/000119312507055710/dex105.htm" TargetMode="External"/><Relationship Id="rId346" Type="http://schemas.openxmlformats.org/officeDocument/2006/relationships/hyperlink" Target="https://www.sec.gov/Archives/edgar/data/716006/000156459020010103/yrcw-ex1073_590.htm" TargetMode="External"/><Relationship Id="rId347" Type="http://schemas.openxmlformats.org/officeDocument/2006/relationships/hyperlink" Target="https://www.sec.gov/Archives/edgar/data/716006/000119312506152735/dex101.htm" TargetMode="External"/><Relationship Id="rId348" Type="http://schemas.openxmlformats.org/officeDocument/2006/relationships/hyperlink" Target="https://www.sec.gov/Archives/edgar/data/716006/000119312508148085/dex103.htm" TargetMode="External"/><Relationship Id="rId349" Type="http://schemas.openxmlformats.org/officeDocument/2006/relationships/hyperlink" Target="https://www.sec.gov/Archives/edgar/data/716006/000119312512083494/d273159dex10303.htm" TargetMode="External"/><Relationship Id="rId350" Type="http://schemas.openxmlformats.org/officeDocument/2006/relationships/hyperlink" Target="https://www.sec.gov/Archives/edgar/data/716006/000095013704001846/c83426exv10w27.txt" TargetMode="External"/><Relationship Id="rId353" Type="http://schemas.openxmlformats.org/officeDocument/2006/relationships/hyperlink" Target="https://www.sec.gov/Archives/edgar/data/716006/000119312505221269/dex102.htm" TargetMode="External"/><Relationship Id="rId354" Type="http://schemas.openxmlformats.org/officeDocument/2006/relationships/hyperlink" Target="https://www.sec.gov/Archives/edgar/data/716006/000119312511066014/dex10283.htm" TargetMode="External"/><Relationship Id="rId355" Type="http://schemas.openxmlformats.org/officeDocument/2006/relationships/hyperlink" Target="https://www.sec.gov/Archives/edgar/data/716006/000119312508148085/dex102.htm" TargetMode="External"/><Relationship Id="rId356" Type="http://schemas.openxmlformats.org/officeDocument/2006/relationships/hyperlink" Target="https://www.sec.gov/Archives/edgar/data/716006/000119312509042369/dex10225.htm" TargetMode="External"/><Relationship Id="rId357" Type="http://schemas.openxmlformats.org/officeDocument/2006/relationships/hyperlink" Target="https://www.sec.gov/Archives/edgar/data/716006/000119312510058523/dex10286.htm" TargetMode="External"/><Relationship Id="rId358" Type="http://schemas.openxmlformats.org/officeDocument/2006/relationships/hyperlink" Target="https://www.sec.gov/Archives/edgar/data/716006/000119312510182535/dex107.htm" TargetMode="External"/><Relationship Id="rId359" Type="http://schemas.openxmlformats.org/officeDocument/2006/relationships/hyperlink" Target="https://www.sec.gov/Archives/edgar/data/716006/000071600618000008/yrcw-2018331xex105.htm" TargetMode="External"/><Relationship Id="rId360" Type="http://schemas.openxmlformats.org/officeDocument/2006/relationships/hyperlink" Target="https://www.sec.gov/Archives/edgar/data/716006/000156459020010103/yrcw-ex1016_780.htm" TargetMode="External"/><Relationship Id="rId361" Type="http://schemas.openxmlformats.org/officeDocument/2006/relationships/hyperlink" Target="https://www.sec.gov/Archives/edgar/data/716006/000156459020045821/yrcw-ex101_9.htm" TargetMode="External"/><Relationship Id="rId362" Type="http://schemas.openxmlformats.org/officeDocument/2006/relationships/hyperlink" Target="https://www.sec.gov/Archives/edgar/data/0000716006/000156459021008809/yell-ex101_9.htm" TargetMode="External"/><Relationship Id="rId363" Type="http://schemas.openxmlformats.org/officeDocument/2006/relationships/hyperlink" Target="https://www.sec.gov/Archives/edgar/data/0000716006/000156459021008809/yell-ex102_10.htm" TargetMode="External"/><Relationship Id="rId364" Type="http://schemas.openxmlformats.org/officeDocument/2006/relationships/hyperlink" Target="https://www.sec.gov/Archives/edgar/data/716006/000156459021024038/yell-ex101_416.htm" TargetMode="External"/><Relationship Id="rId365" Type="http://schemas.openxmlformats.org/officeDocument/2006/relationships/hyperlink" Target="https://www.sec.gov/Archives/edgar/data/716006/000156459021024038/yell-ex102_415.htm" TargetMode="External"/><Relationship Id="rId366" Type="http://schemas.openxmlformats.org/officeDocument/2006/relationships/hyperlink" Target="https://www.sec.gov/Archives/edgar/data/0000716006/000119312520284000/d42755d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2023-02-09T15:52:56Z</dcterms:created>
  <dcterms:modified xsi:type="dcterms:W3CDTF">2023-02-09T15:52:56Z</dcterms:modified>
</cp:coreProperties>
</file>