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123" w:lineRule="exact"/>
        <w:rPr>
          <w:rFonts w:ascii="MS PGothic" w:cs="MS PGothic" w:eastAsia="MS PGothic" w:hAnsi="MS PGothic"/>
          <w:sz w:val="19"/>
          <w:szCs w:val="19"/>
          <w:color w:val="auto"/>
          <w:highlight w:val="black"/>
        </w:rPr>
      </w:pPr>
    </w:p>
    <w:p>
      <w:pPr>
        <w:ind w:left="3820"/>
        <w:spacing w:after="0"/>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For the quarterly period ended March 31, 2023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422" w:right="339" w:bottom="1440" w:gutter="0" w:footer="0" w:header="0"/>
        </w:sectPr>
      </w:pPr>
    </w:p>
    <w:p>
      <w:pPr>
        <w:spacing w:after="0" w:line="13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00" w:lineRule="exact"/>
        <w:rPr>
          <w:sz w:val="24"/>
          <w:szCs w:val="24"/>
          <w:color w:val="auto"/>
        </w:rPr>
      </w:pPr>
    </w:p>
    <w:p>
      <w:pPr>
        <w:sectPr>
          <w:pgSz w:w="11900" w:h="16838" w:orient="portrait"/>
          <w:cols w:equalWidth="0" w:num="2">
            <w:col w:w="6460" w:space="720"/>
            <w:col w:w="4060"/>
          </w:cols>
          <w:pgMar w:left="320" w:top="42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0-12255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Yellow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68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48-0948788</w:t>
            </w:r>
          </w:p>
        </w:tc>
      </w:tr>
      <w:tr>
        <w:trPr>
          <w:trHeight w:val="153"/>
        </w:trPr>
        <w:tc>
          <w:tcPr>
            <w:tcW w:w="5680" w:type="dxa"/>
            <w:vAlign w:val="bottom"/>
          </w:tcPr>
          <w:p>
            <w:pPr>
              <w:jc w:val="center"/>
              <w:ind w:right="1421"/>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2640" w:type="dxa"/>
            <w:vAlign w:val="bottom"/>
          </w:tcPr>
          <w:p>
            <w:pPr>
              <w:jc w:val="center"/>
              <w:ind w:left="144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80" w:type="dxa"/>
            <w:vAlign w:val="bottom"/>
          </w:tcPr>
          <w:p>
            <w:pPr>
              <w:jc w:val="center"/>
              <w:ind w:right="1421"/>
              <w:spacing w:after="0"/>
              <w:rPr>
                <w:sz w:val="20"/>
                <w:szCs w:val="20"/>
                <w:color w:val="auto"/>
              </w:rPr>
            </w:pPr>
            <w:r>
              <w:rPr>
                <w:rFonts w:ascii="Arial" w:cs="Arial" w:eastAsia="Arial" w:hAnsi="Arial"/>
                <w:sz w:val="14"/>
                <w:szCs w:val="14"/>
                <w:b w:val="1"/>
                <w:bCs w:val="1"/>
                <w:color w:val="auto"/>
                <w:w w:val="93"/>
              </w:rPr>
              <w:t>incorporation or organization)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296"/>
        </w:trPr>
        <w:tc>
          <w:tcPr>
            <w:tcW w:w="5680" w:type="dxa"/>
            <w:vAlign w:val="bottom"/>
          </w:tcPr>
          <w:p>
            <w:pPr>
              <w:jc w:val="center"/>
              <w:ind w:right="1421"/>
              <w:spacing w:after="0"/>
              <w:rPr>
                <w:sz w:val="20"/>
                <w:szCs w:val="20"/>
                <w:color w:val="auto"/>
              </w:rPr>
            </w:pPr>
            <w:r>
              <w:rPr>
                <w:rFonts w:ascii="Arial" w:cs="Arial" w:eastAsia="Arial" w:hAnsi="Arial"/>
                <w:sz w:val="18"/>
                <w:szCs w:val="18"/>
                <w:b w:val="1"/>
                <w:bCs w:val="1"/>
                <w:color w:val="auto"/>
                <w:w w:val="87"/>
              </w:rPr>
              <w:t>501 Commerce Street, Suite 1120, Nashville, Tennessee</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90"/>
        </w:trPr>
        <w:tc>
          <w:tcPr>
            <w:tcW w:w="5680" w:type="dxa"/>
            <w:vAlign w:val="bottom"/>
          </w:tcPr>
          <w:p>
            <w:pPr>
              <w:jc w:val="center"/>
              <w:ind w:right="14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(913) 696-6100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YELL</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22" w:right="339" w:bottom="1440" w:gutter="0" w:footer="0" w:header="0"/>
          <w:type w:val="continuous"/>
        </w:sectPr>
      </w:pPr>
    </w:p>
    <w:p>
      <w:pPr>
        <w:spacing w:after="0" w:line="62"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2160" w:space="720"/>
            <w:col w:w="4380" w:space="720"/>
            <w:col w:w="2240" w:space="720"/>
            <w:col w:w="300"/>
          </w:cols>
          <w:pgMar w:left="320" w:top="422" w:right="33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6">
            <w:col w:w="2160" w:space="720"/>
            <w:col w:w="160" w:space="280"/>
            <w:col w:w="3560" w:space="720"/>
            <w:col w:w="160" w:space="220"/>
            <w:col w:w="2240" w:space="720"/>
            <w:col w:w="300"/>
          </w:cols>
          <w:pgMar w:left="320" w:top="422"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24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Outstanding at April 28, 2023</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24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7"/>
              </w:rPr>
              <w:t>51,983.126 shares</w:t>
            </w:r>
          </w:p>
        </w:tc>
      </w:tr>
      <w:tr>
        <w:trPr>
          <w:trHeight w:val="776"/>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INDEX</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Arial" w:cs="Arial" w:eastAsia="Arial" w:hAnsi="Arial"/>
                <w:sz w:val="14"/>
                <w:szCs w:val="14"/>
                <w:color w:val="auto"/>
              </w:rPr>
              <w:t>Item</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vMerge w:val="restart"/>
          </w:tcPr>
          <w:p>
            <w:pPr>
              <w:spacing w:after="0"/>
              <w:rPr>
                <w:sz w:val="15"/>
                <w:szCs w:val="15"/>
                <w:color w:val="auto"/>
              </w:rPr>
            </w:pPr>
          </w:p>
        </w:tc>
        <w:tc>
          <w:tcPr>
            <w:tcW w:w="2980" w:type="dxa"/>
            <w:vAlign w:val="bottom"/>
            <w:gridSpan w:val="6"/>
            <w:vMerge w:val="restart"/>
          </w:tcPr>
          <w:p>
            <w:pPr>
              <w:jc w:val="center"/>
              <w:spacing w:after="0"/>
              <w:rPr>
                <w:sz w:val="20"/>
                <w:szCs w:val="20"/>
                <w:color w:val="auto"/>
              </w:rPr>
            </w:pPr>
            <w:r>
              <w:rPr>
                <w:rFonts w:ascii="Arial" w:cs="Arial" w:eastAsia="Arial" w:hAnsi="Arial"/>
                <w:sz w:val="18"/>
                <w:szCs w:val="18"/>
                <w:color w:val="0563C1"/>
                <w:w w:val="98"/>
              </w:rPr>
              <w:t>PART I – FINANCIAL INFORMATION</w:t>
            </w:r>
          </w:p>
        </w:tc>
        <w:tc>
          <w:tcPr>
            <w:tcW w:w="3660" w:type="dxa"/>
            <w:vAlign w:val="bottom"/>
            <w:gridSpan w:val="4"/>
            <w:vMerge w:val="restart"/>
          </w:tcPr>
          <w:p>
            <w:pPr>
              <w:spacing w:after="0"/>
              <w:rPr>
                <w:sz w:val="15"/>
                <w:szCs w:val="15"/>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980" w:type="dxa"/>
            <w:vAlign w:val="bottom"/>
            <w:tcBorders>
              <w:bottom w:val="single" w:sz="8" w:color="0563C1"/>
            </w:tcBorders>
            <w:gridSpan w:val="6"/>
            <w:vMerge w:val="continue"/>
          </w:tcPr>
          <w:p>
            <w:pPr>
              <w:spacing w:after="0"/>
              <w:rPr>
                <w:sz w:val="15"/>
                <w:szCs w:val="15"/>
                <w:color w:val="auto"/>
              </w:rPr>
            </w:pPr>
          </w:p>
        </w:tc>
        <w:tc>
          <w:tcPr>
            <w:tcW w:w="366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88"/>
              </w:rPr>
              <w:t>Financial Statements</w:t>
            </w:r>
          </w:p>
        </w:tc>
        <w:tc>
          <w:tcPr>
            <w:tcW w:w="8740" w:type="dxa"/>
            <w:vAlign w:val="bottom"/>
            <w:gridSpan w:val="13"/>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tcBorders>
              <w:bottom w:val="single" w:sz="8" w:color="0563C1"/>
            </w:tcBorders>
            <w:gridSpan w:val="9"/>
          </w:tcPr>
          <w:p>
            <w:pPr>
              <w:spacing w:after="0"/>
              <w:rPr>
                <w:sz w:val="20"/>
                <w:szCs w:val="20"/>
                <w:color w:val="auto"/>
              </w:rPr>
            </w:pPr>
            <w:r>
              <w:rPr>
                <w:rFonts w:ascii="Arial" w:cs="Arial" w:eastAsia="Arial" w:hAnsi="Arial"/>
                <w:sz w:val="18"/>
                <w:szCs w:val="18"/>
                <w:color w:val="0563C1"/>
                <w:w w:val="89"/>
              </w:rPr>
              <w:t>Consolidated Balance Sheets - March 31, 2023 and December 31, 2022</w:t>
            </w:r>
          </w:p>
        </w:tc>
        <w:tc>
          <w:tcPr>
            <w:tcW w:w="4880" w:type="dxa"/>
            <w:vAlign w:val="bottom"/>
            <w:gridSpan w:val="7"/>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0563C1"/>
              </w:rPr>
              <w:t>Statements of Consolidated Comprehensive Income (Loss) – Three Months Ended March 31,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40" w:type="dxa"/>
            <w:vAlign w:val="bottom"/>
            <w:tcBorders>
              <w:top w:val="single" w:sz="8" w:color="0563C1"/>
            </w:tcBorders>
            <w:gridSpan w:val="15"/>
          </w:tcPr>
          <w:p>
            <w:pPr>
              <w:spacing w:after="0"/>
              <w:rPr>
                <w:sz w:val="20"/>
                <w:szCs w:val="20"/>
                <w:color w:val="auto"/>
              </w:rPr>
            </w:pPr>
            <w:r>
              <w:rPr>
                <w:rFonts w:ascii="Arial" w:cs="Arial" w:eastAsia="Arial" w:hAnsi="Arial"/>
                <w:sz w:val="18"/>
                <w:szCs w:val="18"/>
                <w:color w:val="0563C1"/>
              </w:rPr>
              <w:t>Statements of Consolidated Cash Flows - Three Months Ended March 31, 2023 and 2022</w:t>
            </w:r>
          </w:p>
        </w:tc>
        <w:tc>
          <w:tcPr>
            <w:tcW w:w="2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6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0563C1"/>
              </w:rPr>
              <w:t>Statements of Consolidated Shareholders’ Deficit - Three Months Ended March 31,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Borders>
              <w:top w:val="single" w:sz="8" w:color="0563C1"/>
              <w:bottom w:val="single" w:sz="8" w:color="0563C1"/>
            </w:tcBorders>
            <w:gridSpan w:val="5"/>
          </w:tcPr>
          <w:p>
            <w:pPr>
              <w:spacing w:after="0"/>
              <w:rPr>
                <w:sz w:val="20"/>
                <w:szCs w:val="20"/>
                <w:color w:val="auto"/>
              </w:rPr>
            </w:pPr>
            <w:r>
              <w:rPr>
                <w:rFonts w:ascii="Arial" w:cs="Arial" w:eastAsia="Arial" w:hAnsi="Arial"/>
                <w:sz w:val="18"/>
                <w:szCs w:val="18"/>
                <w:color w:val="0563C1"/>
                <w:w w:val="89"/>
              </w:rPr>
              <w:t>Notes to Consolidated Financial Statements</w:t>
            </w:r>
          </w:p>
        </w:tc>
        <w:tc>
          <w:tcPr>
            <w:tcW w:w="3980" w:type="dxa"/>
            <w:vAlign w:val="bottom"/>
            <w:tcBorders>
              <w:top w:val="single" w:sz="8" w:color="0563C1"/>
            </w:tcBorders>
            <w:gridSpan w:val="9"/>
          </w:tcPr>
          <w:p>
            <w:pPr>
              <w:spacing w:after="0"/>
              <w:rPr>
                <w:sz w:val="19"/>
                <w:szCs w:val="19"/>
                <w:color w:val="auto"/>
              </w:rPr>
            </w:pPr>
          </w:p>
        </w:tc>
        <w:tc>
          <w:tcPr>
            <w:tcW w:w="2900" w:type="dxa"/>
            <w:vAlign w:val="bottom"/>
            <w:gridSpan w:val="2"/>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3780" w:type="dxa"/>
            <w:vAlign w:val="bottom"/>
            <w:gridSpan w:val="5"/>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tcBorders>
              <w:bottom w:val="single" w:sz="8" w:color="0563C1"/>
            </w:tcBorders>
            <w:gridSpan w:val="9"/>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5880" w:type="dxa"/>
            <w:vAlign w:val="bottom"/>
            <w:gridSpan w:val="8"/>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17"/>
          </w:tcPr>
          <w:p>
            <w:pPr>
              <w:spacing w:after="0"/>
              <w:rPr>
                <w:sz w:val="20"/>
                <w:szCs w:val="20"/>
                <w:color w:val="auto"/>
              </w:rPr>
            </w:pPr>
            <w:r>
              <w:rPr>
                <w:rFonts w:ascii="Arial" w:cs="Arial" w:eastAsia="Arial" w:hAnsi="Arial"/>
                <w:sz w:val="18"/>
                <w:szCs w:val="18"/>
                <w:color w:val="0563C1"/>
              </w:rPr>
              <w:t>Controls and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7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40" w:type="dxa"/>
            <w:vAlign w:val="bottom"/>
            <w:gridSpan w:val="10"/>
          </w:tcPr>
          <w:p>
            <w:pPr>
              <w:jc w:val="center"/>
              <w:ind w:right="3660"/>
              <w:spacing w:after="0"/>
              <w:rPr>
                <w:sz w:val="20"/>
                <w:szCs w:val="20"/>
                <w:color w:val="auto"/>
              </w:rPr>
            </w:pPr>
            <w:r>
              <w:rPr>
                <w:rFonts w:ascii="Arial" w:cs="Arial" w:eastAsia="Arial" w:hAnsi="Arial"/>
                <w:sz w:val="18"/>
                <w:szCs w:val="18"/>
                <w:color w:val="0563C1"/>
                <w:w w:val="95"/>
              </w:rPr>
              <w:t>PART II –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gridSpan w:val="8"/>
          </w:tcPr>
          <w:p>
            <w:pPr>
              <w:spacing w:after="0"/>
              <w:rPr>
                <w:sz w:val="20"/>
                <w:szCs w:val="20"/>
                <w:color w:val="auto"/>
              </w:rPr>
            </w:pPr>
            <w:r>
              <w:rPr>
                <w:rFonts w:ascii="Arial" w:cs="Arial" w:eastAsia="Arial" w:hAnsi="Arial"/>
                <w:sz w:val="18"/>
                <w:szCs w:val="18"/>
                <w:color w:val="0563C1"/>
              </w:rPr>
              <w:t>Legal Proceedings</w:t>
            </w:r>
          </w:p>
        </w:tc>
        <w:tc>
          <w:tcPr>
            <w:tcW w:w="2660" w:type="dxa"/>
            <w:vAlign w:val="bottom"/>
            <w:tcBorders>
              <w:top w:val="single" w:sz="8" w:color="0563C1"/>
            </w:tcBorders>
            <w:gridSpan w:val="3"/>
          </w:tcPr>
          <w:p>
            <w:pPr>
              <w:spacing w:after="0"/>
              <w:rPr>
                <w:sz w:val="19"/>
                <w:szCs w:val="19"/>
                <w:color w:val="auto"/>
              </w:rPr>
            </w:pPr>
          </w:p>
        </w:tc>
        <w:tc>
          <w:tcPr>
            <w:tcW w:w="3820" w:type="dxa"/>
            <w:vAlign w:val="bottom"/>
            <w:gridSpan w:val="6"/>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563C1"/>
              <w:bottom w:val="single" w:sz="8" w:color="0563C1"/>
            </w:tcBorders>
            <w:gridSpan w:val="2"/>
          </w:tcPr>
          <w:p>
            <w:pPr>
              <w:spacing w:after="0"/>
              <w:rPr>
                <w:sz w:val="20"/>
                <w:szCs w:val="20"/>
                <w:color w:val="auto"/>
              </w:rPr>
            </w:pPr>
            <w:r>
              <w:rPr>
                <w:rFonts w:ascii="Arial" w:cs="Arial" w:eastAsia="Arial" w:hAnsi="Arial"/>
                <w:sz w:val="18"/>
                <w:szCs w:val="18"/>
                <w:color w:val="0563C1"/>
                <w:w w:val="87"/>
              </w:rPr>
              <w:t>Risk Factors</w:t>
            </w:r>
          </w:p>
        </w:tc>
        <w:tc>
          <w:tcPr>
            <w:tcW w:w="420" w:type="dxa"/>
            <w:vAlign w:val="bottom"/>
            <w:tcBorders>
              <w:top w:val="single" w:sz="8" w:color="0563C1"/>
            </w:tcBorders>
          </w:tcPr>
          <w:p>
            <w:pPr>
              <w:spacing w:after="0"/>
              <w:rPr>
                <w:sz w:val="19"/>
                <w:szCs w:val="19"/>
                <w:color w:val="auto"/>
              </w:rPr>
            </w:pPr>
          </w:p>
        </w:tc>
        <w:tc>
          <w:tcPr>
            <w:tcW w:w="8920" w:type="dxa"/>
            <w:vAlign w:val="bottom"/>
            <w:gridSpan w:val="14"/>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7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7"/>
          <w:szCs w:val="17"/>
          <w:color w:val="auto"/>
        </w:rPr>
        <w:t>Not Applicable</w:t>
      </w:r>
    </w:p>
    <w:p>
      <w:pPr>
        <w:spacing w:after="0" w:line="3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7"/>
          <w:szCs w:val="17"/>
          <w:color w:val="auto"/>
        </w:rPr>
        <w:t>Not Applicable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5</w:t>
            </w:r>
          </w:p>
        </w:tc>
        <w:tc>
          <w:tcPr>
            <w:tcW w:w="3200" w:type="dxa"/>
            <w:vAlign w:val="bottom"/>
            <w:gridSpan w:val="4"/>
          </w:tcPr>
          <w:p>
            <w:pPr>
              <w:spacing w:after="0"/>
              <w:rPr>
                <w:sz w:val="20"/>
                <w:szCs w:val="20"/>
                <w:color w:val="auto"/>
              </w:rPr>
            </w:pPr>
            <w:r>
              <w:rPr>
                <w:rFonts w:ascii="Arial" w:cs="Arial" w:eastAsia="Arial" w:hAnsi="Arial"/>
                <w:sz w:val="18"/>
                <w:szCs w:val="18"/>
                <w:color w:val="0563C1"/>
              </w:rPr>
              <w:t>Other Information</w:t>
            </w:r>
          </w:p>
        </w:tc>
        <w:tc>
          <w:tcPr>
            <w:tcW w:w="7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6</w:t>
            </w:r>
          </w:p>
        </w:tc>
        <w:tc>
          <w:tcPr>
            <w:tcW w:w="60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18"/>
                <w:szCs w:val="18"/>
                <w:color w:val="0563C1"/>
                <w:w w:val="91"/>
              </w:rPr>
              <w:t>Exhibits</w:t>
            </w:r>
          </w:p>
        </w:tc>
        <w:tc>
          <w:tcPr>
            <w:tcW w:w="700" w:type="dxa"/>
            <w:vAlign w:val="bottom"/>
            <w:tcBorders>
              <w:top w:val="single" w:sz="8" w:color="0563C1"/>
            </w:tcBorders>
            <w:gridSpan w:val="2"/>
          </w:tcPr>
          <w:p>
            <w:pPr>
              <w:spacing w:after="0"/>
              <w:rPr>
                <w:sz w:val="19"/>
                <w:szCs w:val="19"/>
                <w:color w:val="auto"/>
              </w:rPr>
            </w:pPr>
          </w:p>
        </w:tc>
        <w:tc>
          <w:tcPr>
            <w:tcW w:w="1900" w:type="dxa"/>
            <w:vAlign w:val="bottom"/>
          </w:tcPr>
          <w:p>
            <w:pPr>
              <w:spacing w:after="0"/>
              <w:rPr>
                <w:sz w:val="19"/>
                <w:szCs w:val="19"/>
                <w:color w:val="auto"/>
              </w:rPr>
            </w:pPr>
          </w:p>
        </w:tc>
        <w:tc>
          <w:tcPr>
            <w:tcW w:w="7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00" w:type="dxa"/>
            <w:vAlign w:val="bottom"/>
          </w:tcPr>
          <w:p>
            <w:pPr>
              <w:spacing w:after="0"/>
              <w:rPr>
                <w:sz w:val="19"/>
                <w:szCs w:val="19"/>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0563C1"/>
              </w:rPr>
              <w:t>Signatures</w:t>
            </w:r>
          </w:p>
        </w:tc>
        <w:tc>
          <w:tcPr>
            <w:tcW w:w="7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82"/>
        </w:trPr>
        <w:tc>
          <w:tcPr>
            <w:tcW w:w="500" w:type="dxa"/>
            <w:vAlign w:val="bottom"/>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540" w:type="dxa"/>
            <w:vAlign w:val="bottom"/>
          </w:tcPr>
          <w:p>
            <w:pPr>
              <w:jc w:val="right"/>
              <w:ind w:right="5490"/>
              <w:spacing w:after="0"/>
              <w:rPr>
                <w:sz w:val="20"/>
                <w:szCs w:val="20"/>
                <w:color w:val="auto"/>
              </w:rPr>
            </w:pPr>
            <w:r>
              <w:rPr>
                <w:rFonts w:ascii="Arial" w:cs="Arial" w:eastAsia="Arial" w:hAnsi="Arial"/>
                <w:sz w:val="18"/>
                <w:szCs w:val="18"/>
                <w:color w:val="auto"/>
              </w:rPr>
              <w:t>2</w:t>
            </w:r>
          </w:p>
        </w:tc>
      </w:tr>
      <w:tr>
        <w:trPr>
          <w:trHeight w:val="115"/>
        </w:trPr>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r>
      <w:tr>
        <w:trPr>
          <w:trHeight w:val="169"/>
        </w:trPr>
        <w:tc>
          <w:tcPr>
            <w:tcW w:w="7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Restricted amounts held in escrow</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r>
      <w:tr>
        <w:trPr>
          <w:trHeight w:val="237"/>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3,109.0</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Less – accumulated depreciation</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(1,953.4 )</w:t>
            </w:r>
          </w:p>
        </w:tc>
        <w:tc>
          <w:tcPr>
            <w:tcW w:w="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(1,940.0 )</w:t>
            </w:r>
          </w:p>
        </w:tc>
      </w:tr>
      <w:tr>
        <w:trPr>
          <w:trHeight w:val="236"/>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1,156.5</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2,152.2</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2,279.3</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Wages, vacations and employee benefits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Claims and insurance accruals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accrued taxes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Other current and accrued liabilities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0"/>
                <w:szCs w:val="20"/>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1,466.2</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and postretirement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Claims and other liabilities</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Deficit: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Common stock, $0.01 par value per share - authorized 95,000,000 shares, issued 51,955,000 and</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51,601,000 shares, respectively</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Capital surplus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2,395.5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(2,507.8 )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(2,453.2 )</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(232.1 )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(229.5 )</w:t>
            </w: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at cost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(92.7 )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(92.7 )</w:t>
            </w: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Total shareholders’ deficit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(436.6 )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(381.5 )</w:t>
            </w:r>
          </w:p>
        </w:tc>
      </w:tr>
      <w:tr>
        <w:trPr>
          <w:trHeight w:val="276"/>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Shareholders’ Deficit</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-5502910</wp:posOffset>
            </wp:positionV>
            <wp:extent cx="685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-5502910</wp:posOffset>
            </wp:positionV>
            <wp:extent cx="685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-4868545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-4242435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-2665095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2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Revenue</w:t>
            </w:r>
          </w:p>
        </w:tc>
        <w:tc>
          <w:tcPr>
            <w:tcW w:w="27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1,158.6</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wages and employee benefits</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Fuel, operating expenses and supplies</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Purchased transportation</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operating expenses</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Gains on property disposals, net</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(5.5 )</w:t>
            </w:r>
          </w:p>
        </w:tc>
      </w:tr>
      <w:tr>
        <w:trPr>
          <w:trHeight w:val="243"/>
        </w:trPr>
        <w:tc>
          <w:tcPr>
            <w:tcW w:w="47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78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37"/>
        </w:trPr>
        <w:tc>
          <w:tcPr>
            <w:tcW w:w="4780" w:type="dxa"/>
            <w:vAlign w:val="bottom"/>
          </w:tcPr>
          <w:p>
            <w:pPr>
              <w:ind w:left="560"/>
              <w:spacing w:after="0"/>
              <w:rPr>
                <w:sz w:val="20"/>
                <w:szCs w:val="20"/>
                <w:color w:val="auto"/>
              </w:rPr>
            </w:pPr>
            <w:r>
              <w:rPr>
                <w:rFonts w:ascii="Arial" w:cs="Arial" w:eastAsia="Arial" w:hAnsi="Arial"/>
                <w:sz w:val="18"/>
                <w:szCs w:val="18"/>
                <w:b w:val="1"/>
                <w:bCs w:val="1"/>
                <w:color w:val="auto"/>
              </w:rPr>
              <w:t>Operating Income (Loss)</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Expenses:</w:t>
            </w:r>
          </w:p>
        </w:tc>
        <w:tc>
          <w:tcPr>
            <w:tcW w:w="2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Non-union pension and postretirement benefits</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(0.2 )</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r>
      <w:tr>
        <w:trPr>
          <w:trHeight w:val="237"/>
        </w:trPr>
        <w:tc>
          <w:tcPr>
            <w:tcW w:w="4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Nonoperating expenses, net</w:t>
            </w:r>
          </w:p>
        </w:tc>
        <w:tc>
          <w:tcPr>
            <w:tcW w:w="27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(56.8 )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(28.3 )</w:t>
            </w: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(0.8 )</w:t>
            </w:r>
          </w:p>
        </w:tc>
      </w:tr>
      <w:tr>
        <w:trPr>
          <w:trHeight w:val="20"/>
        </w:trPr>
        <w:tc>
          <w:tcPr>
            <w:tcW w:w="4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(54.6 )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(27.5 )</w:t>
            </w: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1"/>
                <w:szCs w:val="2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960" w:type="dxa"/>
            <w:vAlign w:val="bottom"/>
            <w:gridSpan w:val="2"/>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(57.2 )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(25.2 )</w:t>
            </w:r>
          </w:p>
        </w:tc>
      </w:tr>
      <w:tr>
        <w:trPr>
          <w:trHeight w:val="20"/>
        </w:trPr>
        <w:tc>
          <w:tcPr>
            <w:tcW w:w="4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Common Shares Outstanding - Basic</w:t>
            </w:r>
          </w:p>
        </w:tc>
        <w:tc>
          <w:tcPr>
            <w:tcW w:w="2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51,091</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Average Common Shares Outstanding - Diluted</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51,091</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spacing w:after="0"/>
              <w:rPr>
                <w:sz w:val="21"/>
                <w:szCs w:val="21"/>
                <w:color w:val="auto"/>
              </w:rPr>
            </w:pPr>
          </w:p>
        </w:tc>
        <w:tc>
          <w:tcPr>
            <w:tcW w:w="3380" w:type="dxa"/>
            <w:vAlign w:val="bottom"/>
            <w:gridSpan w:val="3"/>
            <w:shd w:val="clear" w:color="auto" w:fill="CFF0FC"/>
          </w:tcPr>
          <w:p>
            <w:pPr>
              <w:spacing w:after="0"/>
              <w:rPr>
                <w:sz w:val="21"/>
                <w:szCs w:val="21"/>
                <w:color w:val="auto"/>
              </w:rPr>
            </w:pPr>
          </w:p>
        </w:tc>
        <w:tc>
          <w:tcPr>
            <w:tcW w:w="1440" w:type="dxa"/>
            <w:vAlign w:val="bottom"/>
            <w:gridSpan w:val="2"/>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Loss Per Share - Basic</w:t>
            </w:r>
          </w:p>
        </w:tc>
        <w:tc>
          <w:tcPr>
            <w:tcW w:w="33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(0.54 )</w:t>
            </w: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Per Share - Diluted</w:t>
            </w:r>
          </w:p>
        </w:tc>
        <w:tc>
          <w:tcPr>
            <w:tcW w:w="338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(0.54 )</w:t>
            </w:r>
          </w:p>
        </w:tc>
      </w:tr>
      <w:tr>
        <w:trPr>
          <w:trHeight w:val="230"/>
        </w:trPr>
        <w:tc>
          <w:tcPr>
            <w:tcW w:w="8160" w:type="dxa"/>
            <w:vAlign w:val="bottom"/>
            <w:gridSpan w:val="4"/>
          </w:tcPr>
          <w:p>
            <w:pPr>
              <w:jc w:val="center"/>
              <w:ind w:left="3011"/>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780" w:type="dxa"/>
            <w:vAlign w:val="bottom"/>
          </w:tcPr>
          <w:p>
            <w:pPr>
              <w:spacing w:after="0"/>
              <w:rPr>
                <w:sz w:val="24"/>
                <w:szCs w:val="24"/>
                <w:color w:val="auto"/>
              </w:rPr>
            </w:pPr>
          </w:p>
        </w:tc>
        <w:tc>
          <w:tcPr>
            <w:tcW w:w="2780" w:type="dxa"/>
            <w:vAlign w:val="bottom"/>
          </w:tcPr>
          <w:p>
            <w:pPr>
              <w:jc w:val="right"/>
              <w:ind w:right="18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-4448175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-3372485</wp:posOffset>
            </wp:positionV>
            <wp:extent cx="7145020" cy="347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-2245360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-1928495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-1610995</wp:posOffset>
            </wp:positionV>
            <wp:extent cx="6858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(54.6 )</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(27.5 )</w:t>
            </w: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cash flows from operating activities:</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Lease amortization and accretion expense</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Lease payments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(28.6 )</w:t>
            </w: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Paid-in-kind interest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Debt-related amortization</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Equity-based compensation and employee benefits expense</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Non-union pension settlement charges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Gains on property disposals, net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non-cash items, net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Changes in assets and liabilities, net: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(77.5 )</w:t>
            </w: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operating assets</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37"/>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(36.4 )</w:t>
            </w:r>
          </w:p>
        </w:tc>
      </w:tr>
      <w:tr>
        <w:trPr>
          <w:trHeight w:val="237"/>
        </w:trPr>
        <w:tc>
          <w:tcPr>
            <w:tcW w:w="75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Proceeds from disposal of property and equipment</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long-term debt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(69.5 )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Payments for tax withheld on equity-based compensation</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36"/>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w w:val="92"/>
              </w:rPr>
              <w:t>Net Increase (Decrease) In Cash and Cash Equivalents and Restricted Amounts Held in Escrow</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(84.3 )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(72.7 )</w:t>
            </w:r>
          </w:p>
        </w:tc>
      </w:tr>
      <w:tr>
        <w:trPr>
          <w:trHeight w:val="24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8"/>
              </w:rPr>
              <w:t>Cash and Cash Equivalents and Restricted Amounts Held in Escrow, Beginning of Period</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and Restricted Amounts Held in Escrow, End of Period</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(38.0 )</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-2245995</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-2245995</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-1786890</wp:posOffset>
            </wp:positionV>
            <wp:extent cx="7145020" cy="338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-977265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-977265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-659765</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4"/>
            <w:vMerge w:val="restart"/>
          </w:tcPr>
          <w:p>
            <w:pPr>
              <w:jc w:val="center"/>
              <w:ind w:right="210"/>
              <w:spacing w:after="0"/>
              <w:rPr>
                <w:sz w:val="20"/>
                <w:szCs w:val="20"/>
                <w:color w:val="auto"/>
              </w:rPr>
            </w:pPr>
            <w:r>
              <w:rPr>
                <w:rFonts w:ascii="Arial" w:cs="Arial" w:eastAsia="Arial" w:hAnsi="Arial"/>
                <w:sz w:val="14"/>
                <w:szCs w:val="14"/>
                <w:b w:val="1"/>
                <w:bCs w:val="1"/>
                <w:color w:val="auto"/>
                <w:w w:val="94"/>
              </w:rPr>
              <w:t>Treasury</w:t>
            </w:r>
          </w:p>
        </w:tc>
        <w:tc>
          <w:tcPr>
            <w:tcW w:w="116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10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4"/>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00" w:type="dxa"/>
            <w:vAlign w:val="bottom"/>
            <w:gridSpan w:val="3"/>
          </w:tcPr>
          <w:p>
            <w:pPr>
              <w:jc w:val="center"/>
              <w:ind w:right="5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Stock, At</w:t>
            </w:r>
          </w:p>
        </w:tc>
        <w:tc>
          <w:tcPr>
            <w:tcW w:w="116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84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3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(54.6 )</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Pension, net of tax:</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prior net losses</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Settlement adjustment</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Net actuarial loss</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net of tax</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2,395.5</w:t>
            </w:r>
          </w:p>
        </w:tc>
        <w:tc>
          <w:tcPr>
            <w:tcW w:w="10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(2,507.8 )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(232.1 )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(92.7 )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(436.6 )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4"/>
            <w:vMerge w:val="restart"/>
          </w:tcPr>
          <w:p>
            <w:pPr>
              <w:jc w:val="center"/>
              <w:ind w:right="210"/>
              <w:spacing w:after="0"/>
              <w:rPr>
                <w:sz w:val="20"/>
                <w:szCs w:val="20"/>
                <w:color w:val="auto"/>
              </w:rPr>
            </w:pPr>
            <w:r>
              <w:rPr>
                <w:rFonts w:ascii="Arial" w:cs="Arial" w:eastAsia="Arial" w:hAnsi="Arial"/>
                <w:sz w:val="14"/>
                <w:szCs w:val="14"/>
                <w:b w:val="1"/>
                <w:bCs w:val="1"/>
                <w:color w:val="auto"/>
                <w:w w:val="94"/>
              </w:rPr>
              <w:t>Treasury</w:t>
            </w:r>
          </w:p>
        </w:tc>
        <w:tc>
          <w:tcPr>
            <w:tcW w:w="116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10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4"/>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00" w:type="dxa"/>
            <w:vAlign w:val="bottom"/>
            <w:gridSpan w:val="3"/>
          </w:tcPr>
          <w:p>
            <w:pPr>
              <w:jc w:val="center"/>
              <w:ind w:right="5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Stock, At</w:t>
            </w:r>
          </w:p>
        </w:tc>
        <w:tc>
          <w:tcPr>
            <w:tcW w:w="116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84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14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net of tax:</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prior net losses</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Foreign currency translation, net of tax</w:t>
            </w:r>
          </w:p>
        </w:tc>
        <w:tc>
          <w:tcPr>
            <w:tcW w:w="18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-1996440</wp:posOffset>
            </wp:positionV>
            <wp:extent cx="7683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-1996440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-1996440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-1996440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-1996440</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-1996440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Yellow Corporation (also referred to as “Yellow,”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Yellow Corporation's LTL subsidiaries include USF Holland LLC (“Holland”), New Penn Motor Express LLC (“New Penn”), USF Reddaway Inc. (“Reddaway”), YRC Inc. and YRC Freight Canada Company (both doing business as, and herein referred to as, “YRC Freight”). Our LTL companies provide services through a consolidated network of facilities located primarily across the United States and Canada. We also offer services through Yellow Logistics, Inc. (“Yellow Logistics”), our customer-specific logistics solutions provider, specializing in truckload, residential, and warehouse solutions.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The Company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The Company also provides higher-margin specialized services, including guaranteed expedited services, time-specific deliveries, cross-border services, exhibit services, product returns, and government material shipments.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labor force is subject to collective bargaining agreements, which predominantly expire on March 31, 2024.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Basis of Presentation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accounts of Yellow and its wholly owned subsidiaries. All significant intercompany accounts and transactions have been eliminated in consolidation. We report on a calendar year basis.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normal recurring adjustments necessary for a fair presentation of the consolidated financial statements for the interim periods included herein have been made. These unaudited interim consolidated financial statements of the Company have been prepared in accordance with U.S. generally accepted accounting principles ("GAAP") for interim financial information, the instructions to Quarterly Report on Form 10-Q and the applicable rules and regulations. Certain information and note disclosures normally included in financial statements prepared in accordance with GAAP have been condensed or omitted from these statements. The accompanying consolidated financial statements should be read in conjunction with the Company’s Annual Report on Form 10-K for the year ended December 31, 2022 (“the 2022 Form 10-K”). Operating results for the three months ended March 31, 2023 are not necessarily indicative of the results of operations that may be expected for the year ended December 31, 2023 or other reporting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makes estimates and assumptions when preparing the financial statements in conformity with GAAP which affect the amounts reported in the financial statements and accompanying notes. Actual results could differ from those estimates.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is summarized below with LTL shipments defined as shipments less than 10,000 pounds that move in our network: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14"/>
                <w:szCs w:val="14"/>
                <w:color w:val="auto"/>
              </w:rPr>
            </w:pPr>
          </w:p>
        </w:tc>
        <w:tc>
          <w:tcPr>
            <w:tcW w:w="15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LTL revenue</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1,055.0</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4"/>
                <w:szCs w:val="24"/>
                <w:color w:val="auto"/>
                <w:vertAlign w:val="superscript"/>
              </w:rPr>
              <w:t>(a)</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1,158.6</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Other revenue is primarily comprised of truckload shipments.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there are recently issued accounting standards that are applicable to the Company, none of these standards are expected to have a material impact on our consolidated financial statements and accompanying notes.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Debt and Financing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March 31, 2023,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Commitment</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Debt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Par Value</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Discount</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Issuance</w:t>
            </w:r>
          </w:p>
        </w:tc>
        <w:tc>
          <w:tcPr>
            <w:tcW w:w="10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Book Value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Fee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restart"/>
          </w:tcPr>
          <w:p>
            <w:pPr>
              <w:ind w:left="60"/>
              <w:spacing w:after="0"/>
              <w:rPr>
                <w:sz w:val="20"/>
                <w:szCs w:val="20"/>
                <w:color w:val="auto"/>
              </w:rPr>
            </w:pPr>
            <w:r>
              <w:rPr>
                <w:rFonts w:ascii="Arial" w:cs="Arial" w:eastAsia="Arial" w:hAnsi="Arial"/>
                <w:sz w:val="10"/>
                <w:szCs w:val="10"/>
                <w:color w:val="auto"/>
                <w:w w:val="81"/>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060" w:type="dxa"/>
            <w:vAlign w:val="bottom"/>
            <w:vMerge w:val="restart"/>
          </w:tcPr>
          <w:p>
            <w:pPr>
              <w:ind w:left="20"/>
              <w:spacing w:after="0" w:line="169" w:lineRule="exact"/>
              <w:rPr>
                <w:sz w:val="20"/>
                <w:szCs w:val="20"/>
                <w:color w:val="auto"/>
              </w:rPr>
            </w:pPr>
            <w:r>
              <w:rPr>
                <w:rFonts w:ascii="Arial" w:cs="Arial" w:eastAsia="Arial" w:hAnsi="Arial"/>
                <w:sz w:val="14"/>
                <w:szCs w:val="14"/>
                <w:color w:val="auto"/>
              </w:rPr>
              <w:t>UST Loan Tranche A</w:t>
            </w:r>
            <w:r>
              <w:rPr>
                <w:rFonts w:ascii="Arial" w:cs="Arial" w:eastAsia="Arial" w:hAnsi="Arial"/>
                <w:sz w:val="19"/>
                <w:szCs w:val="19"/>
                <w:color w:val="auto"/>
                <w:vertAlign w:val="superscript"/>
              </w:rPr>
              <w:t>(a)</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329.4</w:t>
            </w:r>
          </w:p>
        </w:tc>
        <w:tc>
          <w:tcPr>
            <w:tcW w:w="24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(7.1 )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6.3 %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06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vMerge w:val="restart"/>
          </w:tcPr>
          <w:p>
            <w:pPr>
              <w:ind w:left="60"/>
              <w:spacing w:after="0"/>
              <w:rPr>
                <w:sz w:val="20"/>
                <w:szCs w:val="20"/>
                <w:color w:val="auto"/>
              </w:rPr>
            </w:pPr>
            <w:r>
              <w:rPr>
                <w:rFonts w:ascii="Arial" w:cs="Arial" w:eastAsia="Arial" w:hAnsi="Arial"/>
                <w:sz w:val="10"/>
                <w:szCs w:val="10"/>
                <w:color w:val="auto"/>
                <w:w w:val="81"/>
              </w:rPr>
              <w:t>(b)</w:t>
            </w: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6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UST Loan Tranche B</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400.0</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4"/>
                <w:szCs w:val="4"/>
                <w:color w:val="auto"/>
              </w:rPr>
            </w:pPr>
          </w:p>
        </w:tc>
        <w:tc>
          <w:tcPr>
            <w:tcW w:w="12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color w:val="auto"/>
              </w:rPr>
              <w:t>(9.4 )</w:t>
            </w:r>
          </w:p>
        </w:tc>
        <w:tc>
          <w:tcPr>
            <w:tcW w:w="140" w:type="dxa"/>
            <w:vAlign w:val="bottom"/>
          </w:tcPr>
          <w:p>
            <w:pPr>
              <w:spacing w:after="0"/>
              <w:rPr>
                <w:sz w:val="4"/>
                <w:szCs w:val="4"/>
                <w:color w:val="auto"/>
              </w:rPr>
            </w:pPr>
          </w:p>
        </w:tc>
        <w:tc>
          <w:tcPr>
            <w:tcW w:w="98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color w:val="auto"/>
              </w:rPr>
              <w:t>(2.5 )</w:t>
            </w:r>
          </w:p>
        </w:tc>
        <w:tc>
          <w:tcPr>
            <w:tcW w:w="100" w:type="dxa"/>
            <w:vAlign w:val="bottom"/>
          </w:tcPr>
          <w:p>
            <w:pPr>
              <w:spacing w:after="0"/>
              <w:rPr>
                <w:sz w:val="4"/>
                <w:szCs w:val="4"/>
                <w:color w:val="auto"/>
              </w:rPr>
            </w:pPr>
          </w:p>
        </w:tc>
        <w:tc>
          <w:tcPr>
            <w:tcW w:w="9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388.1</w:t>
            </w: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94"/>
        </w:trPr>
        <w:tc>
          <w:tcPr>
            <w:tcW w:w="4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restart"/>
          </w:tcPr>
          <w:p>
            <w:pPr>
              <w:ind w:left="60"/>
              <w:spacing w:after="0"/>
              <w:rPr>
                <w:sz w:val="20"/>
                <w:szCs w:val="20"/>
                <w:color w:val="auto"/>
              </w:rPr>
            </w:pPr>
            <w:r>
              <w:rPr>
                <w:rFonts w:ascii="Arial" w:cs="Arial" w:eastAsia="Arial" w:hAnsi="Arial"/>
                <w:sz w:val="10"/>
                <w:szCs w:val="10"/>
                <w:color w:val="auto"/>
                <w:w w:val="85"/>
              </w:rPr>
              <w:t>(c)</w:t>
            </w: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060" w:type="dxa"/>
            <w:vAlign w:val="bottom"/>
            <w:vMerge w:val="restart"/>
          </w:tcPr>
          <w:p>
            <w:pPr>
              <w:ind w:left="20"/>
              <w:spacing w:after="0" w:line="202" w:lineRule="exact"/>
              <w:rPr>
                <w:sz w:val="20"/>
                <w:szCs w:val="20"/>
                <w:color w:val="auto"/>
              </w:rPr>
            </w:pPr>
            <w:r>
              <w:rPr>
                <w:rFonts w:ascii="Arial" w:cs="Arial" w:eastAsia="Arial" w:hAnsi="Arial"/>
                <w:sz w:val="14"/>
                <w:szCs w:val="14"/>
                <w:color w:val="auto"/>
              </w:rPr>
              <w:t xml:space="preserve">Term Loan </w:t>
            </w:r>
            <w:r>
              <w:rPr>
                <w:rFonts w:ascii="Arial" w:cs="Arial" w:eastAsia="Arial" w:hAnsi="Arial"/>
                <w:sz w:val="19"/>
                <w:szCs w:val="19"/>
                <w:color w:val="auto"/>
                <w:vertAlign w:val="superscript"/>
              </w:rPr>
              <w:t>(a)</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567.4</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7"/>
                <w:szCs w:val="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557.1</w:t>
            </w: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9.5 %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ABL Facility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0"/>
                <w:szCs w:val="10"/>
                <w:color w:val="auto"/>
                <w:w w:val="81"/>
              </w:rPr>
              <w:t>(d)</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060" w:type="dxa"/>
            <w:vAlign w:val="bottom"/>
            <w:vMerge w:val="restart"/>
          </w:tcPr>
          <w:p>
            <w:pPr>
              <w:ind w:left="20"/>
              <w:spacing w:after="0"/>
              <w:rPr>
                <w:sz w:val="20"/>
                <w:szCs w:val="20"/>
                <w:color w:val="auto"/>
              </w:rPr>
            </w:pPr>
            <w:r>
              <w:rPr>
                <w:rFonts w:ascii="Arial" w:cs="Arial" w:eastAsia="Arial" w:hAnsi="Arial"/>
                <w:sz w:val="14"/>
                <w:szCs w:val="14"/>
                <w:color w:val="auto"/>
              </w:rPr>
              <w:t>Lease financing obligations</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212.2</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17.6 %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Arial" w:cs="Arial" w:eastAsia="Arial" w:hAnsi="Arial"/>
                <w:sz w:val="14"/>
                <w:szCs w:val="14"/>
                <w:color w:val="auto"/>
              </w:rPr>
              <w:t>Total debt</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1,509.0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(7.0 )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(16.5 )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maturities of lease financing obligations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(7.8 )</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(7.8 )</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1,501.2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(7.0 )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(16.5 )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-144780</wp:posOffset>
            </wp:positionV>
            <wp:extent cx="7747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-144780</wp:posOffset>
            </wp:positionV>
            <wp:extent cx="7683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-144780</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-144780</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-144780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96"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Par Value and the Book Value both reflect the accumulated cash funds that have been drawn, plus the accumulated paid-in-kind interest.</w:t>
      </w:r>
    </w:p>
    <w:p>
      <w:pPr>
        <w:ind w:left="300" w:hanging="292"/>
        <w:spacing w:after="0" w:line="221"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interest rate based on the Eurodollar rate, which is currently determined by the 1, 2, 3 or 6-month USD LIBOR, with a floor of 1.0%, plus a fixed margin of 3.5%.</w:t>
      </w:r>
    </w:p>
    <w:p>
      <w:pPr>
        <w:ind w:left="300" w:hanging="292"/>
        <w:spacing w:after="0" w:line="221"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interest rate based on the Eurodollar rate, which is currently determined by the 1, 3 or 6-month USD LIBOR, with a floor of 1.0%, plus a fixed margin of 7.5%.</w:t>
      </w:r>
    </w:p>
    <w:p>
      <w:pPr>
        <w:ind w:left="380" w:right="20" w:hanging="372"/>
        <w:spacing w:after="0" w:line="237" w:lineRule="auto"/>
        <w:tabs>
          <w:tab w:leader="none" w:pos="29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rate for lease financing obligations is derived from the difference between total rent payment and calculated principal amortization over the life of lease agreements. The remaining term of these obligations ranges between 2024 and 2032 with right of renewal options available.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3, 2023, the outstanding balance of the A&amp;R CDA was paid in full, and in compliance with the terms of the agreement reducing our cash and cash equivalents by $66.3 million.</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has $567.4 million in debt due June 30, 2024 and $729.4 million in debt due September 30, 2024. At March 31, 2023, the Company had cash and cash equivalents and Managed Accessibility of $167.5 million. On or before the maturation of debt in 2024, the Company will require substantial additional liquidity to satisfy these debt obligations. The Company is currently evaluating strategies to obtain the needed additional liquidity to satisfy these obligations. These strategies may include, but are not limited to, issuing debt or entering into other financing arrangements. There can be no assurance that the Company will be able to obtain additional liquidity when needed or under acceptable terms.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March 31, 2023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Principal Maturity Amount</w:t>
            </w:r>
          </w:p>
        </w:tc>
        <w:tc>
          <w:tcPr>
            <w:tcW w:w="100" w:type="dxa"/>
            <w:vAlign w:val="bottom"/>
          </w:tcPr>
          <w:p>
            <w:pPr>
              <w:spacing w:after="0"/>
              <w:rPr>
                <w:sz w:val="16"/>
                <w:szCs w:val="16"/>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 remaining portion</w:t>
            </w:r>
          </w:p>
        </w:tc>
        <w:tc>
          <w:tcPr>
            <w:tcW w:w="49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0"/>
                <w:szCs w:val="20"/>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20"/>
                <w:szCs w:val="20"/>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0"/>
                <w:szCs w:val="20"/>
                <w:color w:val="auto"/>
              </w:rPr>
            </w:pPr>
          </w:p>
        </w:tc>
      </w:tr>
      <w:tr>
        <w:trPr>
          <w:trHeight w:val="276"/>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9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3700" w:type="dxa"/>
            <w:vAlign w:val="bottom"/>
          </w:tcPr>
          <w:p>
            <w:pPr>
              <w:spacing w:after="0"/>
              <w:rPr>
                <w:sz w:val="24"/>
                <w:szCs w:val="24"/>
                <w:color w:val="auto"/>
              </w:rPr>
            </w:pPr>
          </w:p>
        </w:tc>
        <w:tc>
          <w:tcPr>
            <w:tcW w:w="4980" w:type="dxa"/>
            <w:vAlign w:val="bottom"/>
          </w:tcPr>
          <w:p>
            <w:pPr>
              <w:jc w:val="right"/>
              <w:ind w:right="293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book value and estimated fair values of our long-term debt, including current maturities,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5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Book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Book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5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UST Loans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708.6</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Second A&amp;R CDA</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Lease financing obligations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0"/>
                <w:szCs w:val="20"/>
                <w:color w:val="auto"/>
              </w:rPr>
            </w:pPr>
          </w:p>
        </w:tc>
      </w:tr>
      <w:tr>
        <w:trPr>
          <w:trHeight w:val="277"/>
        </w:trPr>
        <w:tc>
          <w:tcPr>
            <w:tcW w:w="58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UST Loans is estimated using certain inputs that are unobservable (level three input for fair value measurement), which are based on the discounted amount of future cash flows using our current estimated incremental rate of borrowing for similar liabilities or assets. The fair value of the lease financing obligations is estimated using a publicly traded secured loan with similar characteristics (level three input for fair value measurement).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4. Leases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Leases (in millions)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37"/>
        </w:trPr>
        <w:tc>
          <w:tcPr>
            <w:tcW w:w="7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right"/>
              <w:ind w:right="280"/>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489"/>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 (in millions)</w:t>
            </w:r>
          </w:p>
        </w:tc>
        <w:tc>
          <w:tcPr>
            <w:tcW w:w="20" w:type="dxa"/>
            <w:vAlign w:val="bottom"/>
          </w:tcPr>
          <w:p>
            <w:pPr>
              <w:spacing w:after="0"/>
              <w:rPr>
                <w:sz w:val="24"/>
                <w:szCs w:val="24"/>
                <w:color w:val="auto"/>
              </w:rPr>
            </w:pPr>
          </w:p>
        </w:tc>
        <w:tc>
          <w:tcPr>
            <w:tcW w:w="2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Three Months Ended March</w:t>
            </w:r>
          </w:p>
        </w:tc>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31, 2023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4"/>
                <w:szCs w:val="24"/>
                <w:color w:val="auto"/>
                <w:vertAlign w:val="superscript"/>
              </w:rPr>
              <w:t>(a)</w:t>
            </w: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line="243" w:lineRule="exact"/>
              <w:rPr>
                <w:sz w:val="20"/>
                <w:szCs w:val="20"/>
                <w:color w:val="auto"/>
              </w:rPr>
            </w:pPr>
            <w:r>
              <w:rPr>
                <w:rFonts w:ascii="Arial" w:cs="Arial" w:eastAsia="Arial" w:hAnsi="Arial"/>
                <w:sz w:val="18"/>
                <w:szCs w:val="18"/>
                <w:color w:val="auto"/>
              </w:rPr>
              <w:t>Short-term cost</w:t>
            </w:r>
            <w:r>
              <w:rPr>
                <w:rFonts w:ascii="Arial" w:cs="Arial" w:eastAsia="Arial" w:hAnsi="Arial"/>
                <w:sz w:val="24"/>
                <w:szCs w:val="24"/>
                <w:color w:val="auto"/>
                <w:vertAlign w:val="superscript"/>
              </w:rPr>
              <w:t>(b)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4"/>
                <w:szCs w:val="24"/>
                <w:color w:val="auto"/>
                <w:vertAlign w:val="superscript"/>
              </w:rPr>
              <w:t>(b)</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-1851660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-1851660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-154305</wp:posOffset>
            </wp:positionV>
            <wp:extent cx="269176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1765" cy="18859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Operating lease cost represents non-cash amortization of ROU assets and accretion of the discounted lease liabilities and is segregated on the statements of consolidated cash flows.</w:t>
      </w:r>
    </w:p>
    <w:p>
      <w:pPr>
        <w:spacing w:after="0" w:line="11" w:lineRule="exact"/>
        <w:rPr>
          <w:rFonts w:ascii="Arial" w:cs="Arial" w:eastAsia="Arial" w:hAnsi="Arial"/>
          <w:sz w:val="13"/>
          <w:szCs w:val="13"/>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operating expenses are classified and recorded primarily within purchased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-200025</wp:posOffset>
            </wp:positionV>
            <wp:extent cx="26231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Information (in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8"/>
              </w:rPr>
              <w:t>March 31, 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CEC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8360" w:type="dxa"/>
            <w:vAlign w:val="bottom"/>
          </w:tcPr>
          <w:p>
            <w:pPr>
              <w:spacing w:after="0"/>
              <w:rPr>
                <w:sz w:val="20"/>
                <w:szCs w:val="20"/>
                <w:color w:val="auto"/>
              </w:rPr>
            </w:pPr>
            <w:r>
              <w:rPr>
                <w:rFonts w:ascii="Arial" w:cs="Arial" w:eastAsia="Arial" w:hAnsi="Arial"/>
                <w:sz w:val="18"/>
                <w:szCs w:val="18"/>
                <w:color w:val="auto"/>
                <w:w w:val="97"/>
              </w:rPr>
              <w:t>The maturities over the next five years and thereafter of lease liabilities as of March 31, 2023 are as follows: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Remaining Maturities of Lease Liabilities (in millions)</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0"/>
              </w:rPr>
              <w:t>Operating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 remaining portion</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After 2027</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Non-Union Pension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primary components of net periodic pension expense (benefit) for our Company-sponsored pension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64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5"/>
        </w:trPr>
        <w:tc>
          <w:tcPr>
            <w:tcW w:w="4360" w:type="dxa"/>
            <w:vAlign w:val="bottom"/>
            <w:vMerge w:val="continue"/>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144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36"/>
        </w:trPr>
        <w:tc>
          <w:tcPr>
            <w:tcW w:w="4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32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(8.8 )</w:t>
            </w: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prior net losses</w:t>
            </w:r>
          </w:p>
        </w:tc>
        <w:tc>
          <w:tcPr>
            <w:tcW w:w="3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Amortization of prior net service credit</w:t>
            </w: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6"/>
        </w:trPr>
        <w:tc>
          <w:tcPr>
            <w:tcW w:w="43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periodic pension expense (benefit)</w:t>
            </w:r>
          </w:p>
        </w:tc>
        <w:tc>
          <w:tcPr>
            <w:tcW w:w="3380" w:type="dxa"/>
            <w:vAlign w:val="bottom"/>
            <w:tcBorders>
              <w:top w:val="single" w:sz="8" w:color="CFF0FC"/>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35"/>
        </w:trPr>
        <w:tc>
          <w:tcPr>
            <w:tcW w:w="4360" w:type="dxa"/>
            <w:vAlign w:val="bottom"/>
          </w:tcPr>
          <w:p>
            <w:pPr>
              <w:spacing w:after="0"/>
              <w:rPr>
                <w:sz w:val="24"/>
                <w:szCs w:val="24"/>
                <w:color w:val="auto"/>
              </w:rPr>
            </w:pPr>
          </w:p>
        </w:tc>
        <w:tc>
          <w:tcPr>
            <w:tcW w:w="3200" w:type="dxa"/>
            <w:vAlign w:val="bottom"/>
          </w:tcPr>
          <w:p>
            <w:pPr>
              <w:jc w:val="right"/>
              <w:ind w:right="175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-513715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-676275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6. Loss Per Share</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our net losses incurred during the three months ended March 31, 2023 and 2022, we do not report dilutive securities for these periods. At March 31, 2023 and 2022, our anti-dilutive unvested shares, options, and stock units were approximately 912,000 and 390,000,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Commitments, Contingencies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 w:name="page12"/>
    <w:bookmarkEnd w:id="11"/>
    <w:p>
      <w:pPr>
        <w:ind w:right="4220"/>
        <w:spacing w:after="0" w:line="477" w:lineRule="auto"/>
        <w:rPr>
          <w:sz w:val="20"/>
          <w:szCs w:val="20"/>
          <w:color w:val="auto"/>
        </w:rPr>
      </w:pPr>
      <w:r>
        <w:rPr>
          <w:rFonts w:ascii="Arial" w:cs="Arial" w:eastAsia="Arial" w:hAnsi="Arial"/>
          <w:sz w:val="18"/>
          <w:szCs w:val="18"/>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Cautionary Note Regarding Forward-Looking Statements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Forward-looking statements are only predictions. Our future financial condition and results could differ materially from those predicted in such forward-looking statements resulting from business, financial and liquidity, and common stock related factors, including (without limitation):</w:t>
      </w:r>
    </w:p>
    <w:p>
      <w:pPr>
        <w:spacing w:after="0" w:line="7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attracting and retaining qualified drivers and the resulting increases in driver compensation and purchased transportation costs;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labor costs, disruptions or stoppages if our relationship with our employees and unions were to deteriorate;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general uncertainty of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key employees or the inability to hire additional personnel;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operating costs and reduction in our ability to offer intermodal services resulting from our dependency on third-party capacity providers and their and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adapt to industry competition and competitive pricing;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realize the expected benefits and costs savings from our operational changes and performance improvement initiatives;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risks and increasing costs associated with the transportation industry that are largely beyond our control, any of which could have a material adverse effect on our business, financial condition, results of operations and cash flows;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ongoing capital expenditure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and the impact of weather;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fuel prices and shortages of fuel;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corporate reputation reducing demand for our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self-insurance and claim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or future litigation;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 an industry subject to extensive governmental regulations, and costs of compliance with, or liability for violation of existing or future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of our computer and information technology systems, privacy breaches and sophisticated cyber attacks;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impact of the COVID-19 pandemic or any other widespread outbreak of an illness, communicable disease, as well as regulatory measures implemented in response to such events;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the covenants in the documents governing our existing and future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indebtedness and cash interest payment obligations, lease obligations and pension funding obligations as well as our liquidity position;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service all of our indebtedness and satisfy all of our other obligations depends on factors beyond our control, and if we cannot generate enough cash to service our indebtedness and satisfy our other obligations, we may be forced to take one or more actions, which may not be successful;</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restrictive covenants in the documents governing our existing and future indebtedness may limit our current and future operations, particularly our ability to respond to changes in our business or to pursue certain business strategies;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fluctuations in the price of our Common Stock that may make it difficult to resell our Common Stock at attractive prices;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issuances of our Common Stock or equity-related securities in the public market could adversely affect the price of our Common Stock and our ability to raise funds in future offerings;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restrictive covenant that prevents us from paying dividends on our Common Stock in the foreseeable future may impact our ability to raise funds in future offerings;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issue preferred stock that may adversely affect the rights of holders of our Common Stock; and</w:t>
      </w:r>
    </w:p>
    <w:p>
      <w:pPr>
        <w:spacing w:after="0" w:line="117"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three months ended March 31, 2023 and 2022.</w:t>
      </w:r>
    </w:p>
    <w:p>
      <w:pPr>
        <w:spacing w:after="0" w:line="221" w:lineRule="exact"/>
        <w:rPr>
          <w:sz w:val="20"/>
          <w:szCs w:val="20"/>
          <w:color w:val="auto"/>
        </w:rPr>
      </w:pPr>
    </w:p>
    <w:p>
      <w:pPr>
        <w:ind w:left="7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presentation and an analysis of selected non-GAAP financial measures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2023 and 2022 and trailing-twelve-months ended March 31, 2023 and 2022.</w:t>
      </w:r>
    </w:p>
    <w:p>
      <w:pPr>
        <w:spacing w:after="0" w:line="121" w:lineRule="exact"/>
        <w:rPr>
          <w:sz w:val="20"/>
          <w:szCs w:val="20"/>
          <w:color w:val="auto"/>
        </w:rPr>
      </w:pPr>
    </w:p>
    <w:p>
      <w:pPr>
        <w:ind w:left="760"/>
        <w:spacing w:after="0" w:line="282" w:lineRule="auto"/>
        <w:rPr>
          <w:sz w:val="20"/>
          <w:szCs w:val="20"/>
          <w:color w:val="auto"/>
        </w:rPr>
      </w:pPr>
      <w:r>
        <w:rPr>
          <w:rFonts w:ascii="Arial" w:cs="Arial" w:eastAsia="Arial" w:hAnsi="Arial"/>
          <w:sz w:val="18"/>
          <w:szCs w:val="18"/>
          <w:b w:val="1"/>
          <w:bCs w:val="1"/>
          <w:color w:val="auto"/>
        </w:rPr>
        <w:t xml:space="preserve">Financial Condition, Liquidity and Capital Resources: </w:t>
      </w:r>
      <w:r>
        <w:rPr>
          <w:rFonts w:ascii="Arial" w:cs="Arial" w:eastAsia="Arial" w:hAnsi="Arial"/>
          <w:sz w:val="18"/>
          <w:szCs w:val="18"/>
          <w:color w:val="auto"/>
        </w:rPr>
        <w:t>a discussion of our major sources and uses of cash and an analysis of our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and, if applicable, material changes in our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 to the three months ended March 31,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Yellow Corporation is a holding company that, through its operating subsidiaries, offers our customers a wide range of transportation services. The Company has one of the largest, most comprehensive LTL networks in North America with local, regional, national and international capabilities. Through its team of experienced service professionals, the Company offers industry-leading expertise in LTL shipments and flexible supply chain solutions, ensuring customers can ship industrial, commercial and retail goods with confidence.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measure the performance of our business using several metrics but rely primarily upon (without limitation) operating revenue, operating income (loss), and operating ratio. We also use certain non-GAAP financial measures as secondary measures to assess our operating performance.</w:t>
      </w:r>
    </w:p>
    <w:p>
      <w:pPr>
        <w:spacing w:after="0" w:line="102" w:lineRule="exact"/>
        <w:rPr>
          <w:sz w:val="20"/>
          <w:szCs w:val="20"/>
          <w:color w:val="auto"/>
        </w:rPr>
      </w:pPr>
    </w:p>
    <w:p>
      <w:pPr>
        <w:jc w:val="both"/>
        <w:ind w:left="760" w:hanging="378"/>
        <w:spacing w:after="0" w:line="272"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tonnage, tonnage per day,</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industry-accepted fuel surcharge program, our base pricing for our transportation services would require changes. We believe the distinction between base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left="380"/>
        <w:spacing w:after="0" w:line="263" w:lineRule="auto"/>
        <w:rPr>
          <w:sz w:val="20"/>
          <w:szCs w:val="20"/>
          <w:color w:val="auto"/>
        </w:rPr>
      </w:pPr>
      <w:r>
        <w:rPr>
          <w:rFonts w:ascii="Arial" w:cs="Arial" w:eastAsia="Arial" w:hAnsi="Arial"/>
          <w:sz w:val="18"/>
          <w:szCs w:val="18"/>
          <w:color w:val="auto"/>
        </w:rPr>
        <w:t>and fuel surcharge has diminished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53" w:lineRule="exact"/>
        <w:rPr>
          <w:sz w:val="20"/>
          <w:szCs w:val="20"/>
          <w:color w:val="auto"/>
        </w:rPr>
      </w:pPr>
    </w:p>
    <w:p>
      <w:pPr>
        <w:ind w:left="380" w:hanging="378"/>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Operating income (loss) is operating revenue less operating expenses.</w:t>
      </w:r>
    </w:p>
    <w:p>
      <w:pPr>
        <w:spacing w:after="0" w:line="184" w:lineRule="exact"/>
        <w:rPr>
          <w:rFonts w:ascii="Arial" w:cs="Arial" w:eastAsia="Arial" w:hAnsi="Arial"/>
          <w:sz w:val="18"/>
          <w:szCs w:val="18"/>
          <w:color w:val="auto"/>
        </w:rPr>
      </w:pPr>
    </w:p>
    <w:p>
      <w:pPr>
        <w:jc w:val="both"/>
        <w:ind w:left="380" w:hanging="378"/>
        <w:spacing w:after="0" w:line="266"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(ii) minus the result of dividing operating income by operating revenue or (iii) plus the result of dividing operating loss by operating revenue, and is expressed as a percentage.</w:t>
      </w:r>
    </w:p>
    <w:p>
      <w:pPr>
        <w:spacing w:after="0" w:line="135" w:lineRule="exact"/>
        <w:rPr>
          <w:rFonts w:ascii="Arial" w:cs="Arial" w:eastAsia="Arial" w:hAnsi="Arial"/>
          <w:sz w:val="18"/>
          <w:szCs w:val="18"/>
          <w:color w:val="auto"/>
        </w:rPr>
      </w:pPr>
    </w:p>
    <w:p>
      <w:pPr>
        <w:ind w:left="380" w:hanging="378"/>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Non-GAAP Financial Measures: </w:t>
      </w:r>
      <w:r>
        <w:rPr>
          <w:rFonts w:ascii="Arial" w:cs="Arial" w:eastAsia="Arial" w:hAnsi="Arial"/>
          <w:sz w:val="16"/>
          <w:szCs w:val="16"/>
          <w:color w:val="auto"/>
        </w:rPr>
        <w:t>We use EBITDA and Adjusted EBITDA, which are non-GAAP financial measures, to assess the following:</w:t>
      </w:r>
    </w:p>
    <w:p>
      <w:pPr>
        <w:spacing w:after="0" w:line="225" w:lineRule="exact"/>
        <w:rPr>
          <w:rFonts w:ascii="Arial" w:cs="Arial" w:eastAsia="Arial" w:hAnsi="Arial"/>
          <w:sz w:val="16"/>
          <w:szCs w:val="16"/>
          <w:color w:val="auto"/>
        </w:rPr>
      </w:pPr>
    </w:p>
    <w:p>
      <w:pPr>
        <w:ind w:left="760" w:hanging="374"/>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EBITDA:</w:t>
      </w:r>
      <w:r>
        <w:rPr>
          <w:rFonts w:ascii="Arial" w:cs="Arial" w:eastAsia="Arial" w:hAnsi="Arial"/>
          <w:sz w:val="18"/>
          <w:szCs w:val="18"/>
          <w:color w:val="auto"/>
        </w:rPr>
        <w:t xml:space="preserve"> a non-GAAP measure that reflects our earnings before interest, taxes, depreciation, and amortization expense. EBITDA is used for internal management purposes as a financial measure that reflects our core operating performance.</w:t>
      </w:r>
    </w:p>
    <w:p>
      <w:pPr>
        <w:spacing w:after="0" w:line="129" w:lineRule="exact"/>
        <w:rPr>
          <w:rFonts w:ascii="Arial" w:cs="Arial" w:eastAsia="Arial" w:hAnsi="Arial"/>
          <w:sz w:val="16"/>
          <w:szCs w:val="16"/>
          <w:color w:val="auto"/>
        </w:rPr>
      </w:pPr>
    </w:p>
    <w:p>
      <w:pPr>
        <w:ind w:left="760" w:hanging="374"/>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o </w:t>
      </w:r>
      <w:r>
        <w:rPr>
          <w:rFonts w:ascii="Arial" w:cs="Arial" w:eastAsia="Arial" w:hAnsi="Arial"/>
          <w:sz w:val="17"/>
          <w:szCs w:val="17"/>
          <w:i w:val="1"/>
          <w:iCs w:val="1"/>
          <w:color w:val="auto"/>
        </w:rPr>
        <w:t>Adjusted EBITDA:</w:t>
      </w:r>
      <w:r>
        <w:rPr>
          <w:rFonts w:ascii="Arial" w:cs="Arial" w:eastAsia="Arial" w:hAnsi="Arial"/>
          <w:sz w:val="17"/>
          <w:szCs w:val="17"/>
          <w:color w:val="auto"/>
        </w:rPr>
        <w:t xml:space="preserve"> a non-GAAP measure that reflects EBITDA, and further adjusts for letter of credit fees, equity-based compensation 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All references to “Adjusted EBITDA” throughout this section and the rest of this report refer to “Adjusted EBITDA” calculated under our UST Credit Agreements and the Term Loan Agreement (collectively, the “TL Agreements”) (defined therein as “Consolidated EBITDA”) unless otherwise specified. Consolidated EBITDA is also a defined term in our ABL Facility and the definition there aligns with the prior definition of Consolidated EBITDA under the Prior Term Loan Agreement. Adjusted EBITDA is used for internal management purposes as a financial measure that reflects our core operating performance, to measure compliance with financial covenants in our TL Agreements and to determine certain management and employee bonus compensation.</w:t>
      </w:r>
    </w:p>
    <w:p>
      <w:pPr>
        <w:spacing w:after="0" w:line="138" w:lineRule="exact"/>
        <w:rPr>
          <w:rFonts w:ascii="Arial" w:cs="Arial" w:eastAsia="Arial" w:hAnsi="Arial"/>
          <w:sz w:val="16"/>
          <w:szCs w:val="16"/>
          <w:color w:val="auto"/>
        </w:rPr>
      </w:pPr>
    </w:p>
    <w:p>
      <w:pPr>
        <w:jc w:val="both"/>
        <w:ind w:left="380"/>
        <w:spacing w:after="0" w:line="293" w:lineRule="auto"/>
        <w:rPr>
          <w:rFonts w:ascii="Arial" w:cs="Arial" w:eastAsia="Arial" w:hAnsi="Arial"/>
          <w:sz w:val="16"/>
          <w:szCs w:val="16"/>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 in our TL Agreements as this measure is calculated as defined in our TL Agreements and serves as a driving component of our key financial covenants.</w:t>
      </w:r>
    </w:p>
    <w:p>
      <w:pPr>
        <w:spacing w:after="0" w:line="137"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Our non-GAAP financial measures have the following limitations:</w:t>
      </w:r>
    </w:p>
    <w:p>
      <w:pPr>
        <w:spacing w:after="0" w:line="184" w:lineRule="exact"/>
        <w:rPr>
          <w:rFonts w:ascii="Arial" w:cs="Arial" w:eastAsia="Arial" w:hAnsi="Arial"/>
          <w:sz w:val="16"/>
          <w:szCs w:val="16"/>
          <w:color w:val="auto"/>
        </w:rPr>
      </w:pPr>
    </w:p>
    <w:p>
      <w:pPr>
        <w:ind w:left="760" w:hanging="374"/>
        <w:spacing w:after="0" w:line="277" w:lineRule="auto"/>
        <w:rPr>
          <w:rFonts w:ascii="Arial" w:cs="Arial" w:eastAsia="Arial" w:hAnsi="Arial"/>
          <w:sz w:val="16"/>
          <w:szCs w:val="16"/>
          <w:color w:val="auto"/>
        </w:rPr>
      </w:pPr>
      <w:r>
        <w:rPr>
          <w:rFonts w:ascii="Arial" w:cs="Arial" w:eastAsia="Arial" w:hAnsi="Arial"/>
          <w:sz w:val="18"/>
          <w:szCs w:val="18"/>
          <w:color w:val="auto"/>
        </w:rPr>
        <w:t>o EBITDA does not reflect the interest expense or the cash requirements necessary to service interest or fund principal payments on our outstanding debt;</w:t>
      </w:r>
    </w:p>
    <w:p>
      <w:pPr>
        <w:spacing w:after="0" w:line="129" w:lineRule="exact"/>
        <w:rPr>
          <w:rFonts w:ascii="Arial" w:cs="Arial" w:eastAsia="Arial" w:hAnsi="Arial"/>
          <w:sz w:val="16"/>
          <w:szCs w:val="16"/>
          <w:color w:val="auto"/>
        </w:rPr>
      </w:pPr>
    </w:p>
    <w:p>
      <w:pPr>
        <w:ind w:left="760" w:hanging="374"/>
        <w:spacing w:after="0" w:line="263" w:lineRule="auto"/>
        <w:rPr>
          <w:rFonts w:ascii="Arial" w:cs="Arial" w:eastAsia="Arial" w:hAnsi="Arial"/>
          <w:sz w:val="16"/>
          <w:szCs w:val="16"/>
          <w:color w:val="auto"/>
        </w:rPr>
      </w:pPr>
      <w:r>
        <w:rPr>
          <w:rFonts w:ascii="Arial" w:cs="Arial" w:eastAsia="Arial" w:hAnsi="Arial"/>
          <w:sz w:val="18"/>
          <w:szCs w:val="18"/>
          <w:color w:val="auto"/>
        </w:rPr>
        <w:t>o 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or nonrecurring consulting fees, among other items;</w:t>
      </w:r>
    </w:p>
    <w:p>
      <w:pPr>
        <w:spacing w:after="0" w:line="156" w:lineRule="exact"/>
        <w:rPr>
          <w:rFonts w:ascii="Arial" w:cs="Arial" w:eastAsia="Arial" w:hAnsi="Arial"/>
          <w:sz w:val="16"/>
          <w:szCs w:val="16"/>
          <w:color w:val="auto"/>
        </w:rPr>
      </w:pPr>
    </w:p>
    <w:p>
      <w:pPr>
        <w:ind w:left="760" w:hanging="374"/>
        <w:spacing w:after="0" w:line="277" w:lineRule="auto"/>
        <w:rPr>
          <w:rFonts w:ascii="Arial" w:cs="Arial" w:eastAsia="Arial" w:hAnsi="Arial"/>
          <w:sz w:val="16"/>
          <w:szCs w:val="16"/>
          <w:color w:val="auto"/>
        </w:rPr>
      </w:pPr>
      <w:r>
        <w:rPr>
          <w:rFonts w:ascii="Arial" w:cs="Arial" w:eastAsia="Arial" w:hAnsi="Arial"/>
          <w:sz w:val="18"/>
          <w:szCs w:val="18"/>
          <w:color w:val="auto"/>
        </w:rPr>
        <w:t>o Although depreciation and amortization are non-cash charges, the assets being depreciated and amortized will generally need to be replaced in the future and EBITDA and Adjusted EBITDA do not reflect any cash requirements for such replacements;</w:t>
      </w:r>
    </w:p>
    <w:p>
      <w:pPr>
        <w:spacing w:after="0" w:line="129" w:lineRule="exact"/>
        <w:rPr>
          <w:rFonts w:ascii="Arial" w:cs="Arial" w:eastAsia="Arial" w:hAnsi="Arial"/>
          <w:sz w:val="16"/>
          <w:szCs w:val="16"/>
          <w:color w:val="auto"/>
        </w:rPr>
      </w:pPr>
    </w:p>
    <w:p>
      <w:pPr>
        <w:ind w:left="760" w:hanging="374"/>
        <w:spacing w:after="0" w:line="308" w:lineRule="auto"/>
        <w:rPr>
          <w:rFonts w:ascii="Arial" w:cs="Arial" w:eastAsia="Arial" w:hAnsi="Arial"/>
          <w:sz w:val="16"/>
          <w:szCs w:val="16"/>
          <w:color w:val="auto"/>
        </w:rPr>
      </w:pPr>
      <w:r>
        <w:rPr>
          <w:rFonts w:ascii="Arial" w:cs="Arial" w:eastAsia="Arial" w:hAnsi="Arial"/>
          <w:sz w:val="17"/>
          <w:szCs w:val="17"/>
          <w:color w:val="auto"/>
        </w:rPr>
        <w:t>o Equity-based compensation is an element of our long-term incentive compensation package, although Adjusted EBITDA excludes employee equity-based compensation expense when presenting our ongoing operating performance for a particular period; and</w:t>
      </w:r>
    </w:p>
    <w:p>
      <w:pPr>
        <w:spacing w:after="0" w:line="105" w:lineRule="exact"/>
        <w:rPr>
          <w:rFonts w:ascii="Arial" w:cs="Arial" w:eastAsia="Arial" w:hAnsi="Arial"/>
          <w:sz w:val="16"/>
          <w:szCs w:val="16"/>
          <w:color w:val="auto"/>
        </w:rPr>
      </w:pPr>
    </w:p>
    <w:p>
      <w:pPr>
        <w:ind w:left="760" w:right="20" w:hanging="374"/>
        <w:spacing w:after="0" w:line="277" w:lineRule="auto"/>
        <w:rPr>
          <w:rFonts w:ascii="Arial" w:cs="Arial" w:eastAsia="Arial" w:hAnsi="Arial"/>
          <w:sz w:val="16"/>
          <w:szCs w:val="16"/>
          <w:color w:val="auto"/>
        </w:rPr>
      </w:pPr>
      <w:r>
        <w:rPr>
          <w:rFonts w:ascii="Arial" w:cs="Arial" w:eastAsia="Arial" w:hAnsi="Arial"/>
          <w:sz w:val="18"/>
          <w:szCs w:val="18"/>
          <w:color w:val="auto"/>
        </w:rPr>
        <w:t>o Other companies in our industry may calculate Adjusted EBITDA differently than we do, potentially limiting its usefulness as a comparative measure.</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 Overview</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remains focused on providing exemplary super-regional service as we continue on our multi-year enterprise transformation to optimize and structurally improve our network that includes more than 300 strategically located terminals throughout North America. The transformation is expected to increase asset utilization, enhance network efficiencies, create cost savings and leverage operational flexibilities, consolidate disparate company systems onto a single platform and rationalize the more than 300 physical locations in the network while maintaining geographic coverage. The result will be to operate Yellow as one company, one network, under one Yellow brand.</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completed our LTL companies’ migration to a common technology platform in early 2022, and our focus transitioned to the integration of our four disparate linehaul networks into a single national network. The combination of our four individual linehaul networks currently tied to our legacy national and regional carrier brands will result in greater density as freight moves throughout our network from origin to destination terminals. Also, the local terminal pickup and delivery optimization efforts will eliminate the overlapping coverage and customer interactions that currently exist between our legacy national and regional carrier brands. When completed, this operational transformation will result in enhanced customer service, cost savings opportunities from reduced miles and productivity gains, and will create additional capacity without adding incremental physical infrastructure. In September 2022, we successfully implemented Phase One of the network optimization in the western U.S. Phase One included integrating 89 legacy YRC Freight and Reddaway terminals, and the results are meeting our expectations as customers are benefitting by having one driver pick-up and deliver both regional and long-haul shipments. We continue to work through the process with the International Brotherhood of Teamsters to implement Phase Two, which will strengthen the Company, protect 22,000 union jobs and ensure that our customers are well cared for and receive the range of services that today’s market demands. We expect to capitalize on the successes and lessons learned in Phase One as we complete the network optimization, and then turn our focus to refinancing the capital structure.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investment remains a top priority for us and we remain committed to investing in our fleet, and in technology solutions that enhance our customers’ experience and improve our operational flexibility and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of 2023 and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3"/>
                <w:szCs w:val="13"/>
                <w:b w:val="1"/>
                <w:bCs w:val="1"/>
                <w:color w:val="auto"/>
              </w:rPr>
              <w:t>First Quarter</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4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tcPr>
          <w:p>
            <w:pPr>
              <w:jc w:val="right"/>
              <w:ind w:right="88"/>
              <w:spacing w:after="0" w:line="124" w:lineRule="exact"/>
              <w:rPr>
                <w:sz w:val="20"/>
                <w:szCs w:val="20"/>
                <w:color w:val="auto"/>
              </w:rPr>
            </w:pPr>
            <w:r>
              <w:rPr>
                <w:rFonts w:ascii="Arial" w:cs="Arial" w:eastAsia="Arial" w:hAnsi="Arial"/>
                <w:sz w:val="13"/>
                <w:szCs w:val="13"/>
                <w:b w:val="1"/>
                <w:bCs w:val="1"/>
                <w:color w:val="auto"/>
                <w:w w:val="84"/>
              </w:rPr>
              <w:t>Percentage Change 2023 vs</w:t>
            </w:r>
          </w:p>
        </w:tc>
      </w:tr>
      <w:tr>
        <w:trPr>
          <w:trHeight w:val="164"/>
        </w:trPr>
        <w:tc>
          <w:tcPr>
            <w:tcW w:w="4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8"/>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Revenue</w:t>
            </w: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1,158.6</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1,260.4</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Salaries, wages and employee benefits</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672.5</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711.0</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w:t>
            </w:r>
          </w:p>
        </w:tc>
        <w:tc>
          <w:tcPr>
            <w:tcW w:w="2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(5.4 )</w:t>
            </w:r>
          </w:p>
        </w:tc>
      </w:tr>
      <w:tr>
        <w:trPr>
          <w:trHeight w:val="176"/>
        </w:trPr>
        <w:tc>
          <w:tcPr>
            <w:tcW w:w="4040" w:type="dxa"/>
            <w:vAlign w:val="bottom"/>
          </w:tcPr>
          <w:p>
            <w:pPr>
              <w:ind w:left="200"/>
              <w:spacing w:after="0"/>
              <w:rPr>
                <w:sz w:val="20"/>
                <w:szCs w:val="20"/>
                <w:color w:val="auto"/>
              </w:rPr>
            </w:pPr>
            <w:r>
              <w:rPr>
                <w:rFonts w:ascii="Arial" w:cs="Arial" w:eastAsia="Arial" w:hAnsi="Arial"/>
                <w:sz w:val="14"/>
                <w:szCs w:val="14"/>
                <w:color w:val="auto"/>
              </w:rPr>
              <w:t>Fuel, operating expenses and supplies</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243.6</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(1.2 )</w:t>
            </w:r>
          </w:p>
        </w:tc>
      </w:tr>
      <w:tr>
        <w:trPr>
          <w:trHeight w:val="175"/>
        </w:trPr>
        <w:tc>
          <w:tcPr>
            <w:tcW w:w="4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Purchased transportation</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152.0</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(18.0 )</w:t>
            </w:r>
          </w:p>
        </w:tc>
      </w:tr>
      <w:tr>
        <w:trPr>
          <w:trHeight w:val="176"/>
        </w:trPr>
        <w:tc>
          <w:tcPr>
            <w:tcW w:w="404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(1.1 )</w:t>
            </w:r>
          </w:p>
        </w:tc>
      </w:tr>
      <w:tr>
        <w:trPr>
          <w:trHeight w:val="175"/>
        </w:trPr>
        <w:tc>
          <w:tcPr>
            <w:tcW w:w="4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operating expenses</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(16.0 )</w:t>
            </w:r>
          </w:p>
        </w:tc>
      </w:tr>
      <w:tr>
        <w:trPr>
          <w:trHeight w:val="176"/>
        </w:trPr>
        <w:tc>
          <w:tcPr>
            <w:tcW w:w="4040" w:type="dxa"/>
            <w:vAlign w:val="bottom"/>
          </w:tcPr>
          <w:p>
            <w:pPr>
              <w:ind w:left="200"/>
              <w:spacing w:after="0"/>
              <w:rPr>
                <w:sz w:val="20"/>
                <w:szCs w:val="20"/>
                <w:color w:val="auto"/>
              </w:rPr>
            </w:pPr>
            <w:r>
              <w:rPr>
                <w:rFonts w:ascii="Arial" w:cs="Arial" w:eastAsia="Arial" w:hAnsi="Arial"/>
                <w:sz w:val="14"/>
                <w:szCs w:val="14"/>
                <w:color w:val="auto"/>
              </w:rPr>
              <w:t>Gains on property disposals, net</w:t>
            </w:r>
          </w:p>
        </w:tc>
        <w:tc>
          <w:tcPr>
            <w:tcW w:w="4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(0.0 )</w:t>
            </w:r>
          </w:p>
        </w:tc>
        <w:tc>
          <w:tcPr>
            <w:tcW w:w="5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(0.4 )</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(90.9 )</w:t>
            </w:r>
          </w:p>
        </w:tc>
      </w:tr>
      <w:tr>
        <w:trPr>
          <w:trHeight w:val="169"/>
        </w:trPr>
        <w:tc>
          <w:tcPr>
            <w:tcW w:w="40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1,167.9</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99.3</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6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(6.7 )</w:t>
            </w:r>
          </w:p>
        </w:tc>
      </w:tr>
      <w:tr>
        <w:trPr>
          <w:trHeight w:val="169"/>
        </w:trPr>
        <w:tc>
          <w:tcPr>
            <w:tcW w:w="4040" w:type="dxa"/>
            <w:vAlign w:val="bottom"/>
          </w:tcPr>
          <w:p>
            <w:pPr>
              <w:ind w:left="560"/>
              <w:spacing w:after="0"/>
              <w:rPr>
                <w:sz w:val="20"/>
                <w:szCs w:val="20"/>
                <w:color w:val="auto"/>
              </w:rPr>
            </w:pPr>
            <w:r>
              <w:rPr>
                <w:rFonts w:ascii="Arial" w:cs="Arial" w:eastAsia="Arial" w:hAnsi="Arial"/>
                <w:sz w:val="14"/>
                <w:szCs w:val="14"/>
                <w:b w:val="1"/>
                <w:bCs w:val="1"/>
                <w:color w:val="auto"/>
              </w:rPr>
              <w:t>Operating Income (Loss)</w:t>
            </w: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(9.3 )</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(0.8 )</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(201.1 )</w:t>
            </w: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Nonoperating Expenses:</w:t>
            </w:r>
          </w:p>
        </w:tc>
        <w:tc>
          <w:tcPr>
            <w:tcW w:w="42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040" w:type="dxa"/>
            <w:vAlign w:val="bottom"/>
          </w:tcPr>
          <w:p>
            <w:pPr>
              <w:ind w:left="380"/>
              <w:spacing w:after="0"/>
              <w:rPr>
                <w:sz w:val="20"/>
                <w:szCs w:val="20"/>
                <w:color w:val="auto"/>
              </w:rPr>
            </w:pPr>
            <w:r>
              <w:rPr>
                <w:rFonts w:ascii="Arial" w:cs="Arial" w:eastAsia="Arial" w:hAnsi="Arial"/>
                <w:sz w:val="14"/>
                <w:szCs w:val="14"/>
                <w:color w:val="auto"/>
              </w:rPr>
              <w:t>Nonoperating expenses, net</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before income taxes</w:t>
            </w:r>
          </w:p>
        </w:tc>
        <w:tc>
          <w:tcPr>
            <w:tcW w:w="4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(4.9 )</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(2.2 )</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FF0FC"/>
          </w:tcPr>
          <w:p>
            <w:pPr>
              <w:spacing w:after="0"/>
              <w:rPr>
                <w:sz w:val="14"/>
                <w:szCs w:val="14"/>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4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(0.2 )</w:t>
            </w:r>
          </w:p>
        </w:tc>
        <w:tc>
          <w:tcPr>
            <w:tcW w:w="5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(0.8 )</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(0.1 )</w:t>
            </w:r>
          </w:p>
        </w:tc>
        <w:tc>
          <w:tcPr>
            <w:tcW w:w="1640" w:type="dxa"/>
            <w:vAlign w:val="bottom"/>
            <w:gridSpan w:val="2"/>
          </w:tcPr>
          <w:p>
            <w:pPr>
              <w:jc w:val="right"/>
              <w:ind w:right="48"/>
              <w:spacing w:after="0"/>
              <w:rPr>
                <w:sz w:val="20"/>
                <w:szCs w:val="20"/>
                <w:color w:val="auto"/>
              </w:rPr>
            </w:pPr>
            <w:r>
              <w:rPr>
                <w:rFonts w:ascii="Arial" w:cs="Arial" w:eastAsia="Arial" w:hAnsi="Arial"/>
                <w:sz w:val="14"/>
                <w:szCs w:val="14"/>
                <w:color w:val="auto"/>
              </w:rPr>
              <w:t>NM*</w:t>
            </w:r>
          </w:p>
        </w:tc>
      </w:tr>
      <w:tr>
        <w:trPr>
          <w:trHeight w:val="209"/>
        </w:trPr>
        <w:tc>
          <w:tcPr>
            <w:tcW w:w="40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loss</w:t>
            </w:r>
          </w:p>
        </w:tc>
        <w:tc>
          <w:tcPr>
            <w:tcW w:w="420" w:type="dxa"/>
            <w:vAlign w:val="bottom"/>
            <w:tcBorders>
              <w:top w:val="single" w:sz="8" w:color="auto"/>
              <w:bottom w:val="single" w:sz="8" w:color="auto"/>
            </w:tcBorders>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(54.6</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(4.7 )</w:t>
            </w:r>
          </w:p>
        </w:tc>
        <w:tc>
          <w:tcPr>
            <w:tcW w:w="500" w:type="dxa"/>
            <w:vAlign w:val="bottom"/>
            <w:tcBorders>
              <w:top w:val="single" w:sz="8" w:color="auto"/>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CFF0FC"/>
            </w:tcBorders>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(2.2 )</w:t>
            </w:r>
          </w:p>
        </w:tc>
        <w:tc>
          <w:tcPr>
            <w:tcW w:w="15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41"/>
        </w:trPr>
        <w:tc>
          <w:tcPr>
            <w:tcW w:w="4040" w:type="dxa"/>
            <w:vAlign w:val="bottom"/>
          </w:tcPr>
          <w:p>
            <w:pPr>
              <w:spacing w:after="0" w:line="141" w:lineRule="exact"/>
              <w:rPr>
                <w:sz w:val="20"/>
                <w:szCs w:val="20"/>
                <w:color w:val="auto"/>
              </w:rPr>
            </w:pPr>
            <w:r>
              <w:rPr>
                <w:rFonts w:ascii="Arial" w:cs="Arial" w:eastAsia="Arial" w:hAnsi="Arial"/>
                <w:sz w:val="13"/>
                <w:szCs w:val="13"/>
                <w:color w:val="auto"/>
              </w:rPr>
              <w:t>*Not meaningful</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132320" cy="261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6162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-127000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-109855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-127000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-109855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2023 Compared to the First Quarter of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operating revenue, including fuel surcharge, decreased $101.8 million compared to the first quarter of 2022. Fuel surcharge revenue decreased compared to the first quarter of 2022 primarily due to fewer shipments, partially offset by higher fuel prices. Excluding fuel surcharge revenue, consolidated operating revenue declined due to shipping volume decreases.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results reflect the net revenue decrease offset by certain variable operating expenses. Overall inflation in costs driven by macroeconomic conditions impacted costs across the Company, as well as continued costs associated with phase one super-regional implementation, and increased costs to prepare for phase two. Further material changes are provided below.</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decreased $38.5 million primarily due to impacts of headcount reductions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shipping volume decreases partially offset by contractual wage and benefit increases.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$33.4 million primarily due to targeted efforts by the Company to reduce over-the-road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transportation usage and reduce equpiment lease expense. While the cost of purchased transportation rates have increased, overall utilization by the Company has declined leading to an overall decrease. These decreases include a $11.9 million decrease in over-the-road purchased transportation expense, a $10.7 million decrease in equipment lease expense and a $8.2 million decrease in third-party costs due to declines in customer-specific logistics solutions.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$13.0 million primarily due to a $7.1 million decrease in third-party liability claims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mostly due to more favorable development of prior year claims during 2023 compared to 2022.</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 </w:t>
      </w:r>
      <w:r>
        <w:rPr>
          <w:rFonts w:ascii="Arial" w:cs="Arial" w:eastAsia="Arial" w:hAnsi="Arial"/>
          <w:sz w:val="18"/>
          <w:szCs w:val="18"/>
          <w:color w:val="auto"/>
        </w:rPr>
        <w:t>The Company’s tax provision or benefit for interim periods is computed using an estimate of the annual effective tax rate and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discrete items, if any, that occurred during the reporting periods presented. Our effective tax rate for the first quarter of 2023 and 2022 was 3.9% and 2.8%, respectively. The effective tax rate for 2023 differed from the U.S. federal statutory rate primarily due to the valuation allowance on our domestic net deferred tax assets partially offset by foreign and state income taxes. The effective rate for 2022 differed from the U.S. federal statutory rate primarily due to the valuation allowance on our domestic net deferred tax assets. The Company maintained a full valuation allowance on our domestic net deferred tax assets as of the reporting periods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table below summarizes the key revenue metrics for the first quarter of 2023 compared to the first quarter of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440"/>
              <w:spacing w:after="0" w:line="189" w:lineRule="exact"/>
              <w:rPr>
                <w:sz w:val="20"/>
                <w:szCs w:val="20"/>
                <w:color w:val="auto"/>
              </w:rPr>
            </w:pPr>
            <w:r>
              <w:rPr>
                <w:rFonts w:ascii="Arial" w:cs="Arial" w:eastAsia="Arial" w:hAnsi="Arial"/>
                <w:sz w:val="14"/>
                <w:szCs w:val="14"/>
                <w:b w:val="1"/>
                <w:bCs w:val="1"/>
                <w:color w:val="auto"/>
                <w:w w:val="86"/>
              </w:rPr>
              <w:t>Change</w:t>
            </w:r>
            <w:r>
              <w:rPr>
                <w:rFonts w:ascii="Arial" w:cs="Arial" w:eastAsia="Arial" w:hAnsi="Arial"/>
                <w:sz w:val="19"/>
                <w:szCs w:val="19"/>
                <w:b w:val="1"/>
                <w:bCs w:val="1"/>
                <w:color w:val="auto"/>
                <w:w w:val="86"/>
                <w:vertAlign w:val="superscript"/>
              </w:rPr>
              <w:t>(a)</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Workdays</w:t>
            </w: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1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ratio</w:t>
            </w:r>
          </w:p>
        </w:tc>
        <w:tc>
          <w:tcPr>
            <w:tcW w:w="280" w:type="dxa"/>
            <w:vAlign w:val="bottom"/>
            <w:shd w:val="clear" w:color="auto" w:fill="CFF0FC"/>
          </w:tcPr>
          <w:p>
            <w:pPr>
              <w:spacing w:after="0"/>
              <w:rPr>
                <w:sz w:val="21"/>
                <w:szCs w:val="21"/>
                <w:color w:val="auto"/>
              </w:rPr>
            </w:pPr>
          </w:p>
        </w:tc>
        <w:tc>
          <w:tcPr>
            <w:tcW w:w="12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100.8 %</w:t>
            </w:r>
          </w:p>
        </w:tc>
        <w:tc>
          <w:tcPr>
            <w:tcW w:w="18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99.3 %</w:t>
            </w:r>
          </w:p>
        </w:tc>
        <w:tc>
          <w:tcPr>
            <w:tcW w:w="2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 pp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8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picked up revenue (in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1,053.2</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1,137.2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tonnage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1,756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tonnage per workday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27.43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shipments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shipments per workday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48.61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picked up revenue per hundred weight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28.72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picked up revenue per shipment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picked up revenue per shipment (excluding fuel surcharge)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LTL weight per shipment (in pounds)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1,129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line="243"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4"/>
                <w:szCs w:val="24"/>
                <w:color w:val="auto"/>
                <w:vertAlign w:val="superscript"/>
              </w:rPr>
              <w:t>(b)</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1,141.0</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1,252.4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tonnage (in thousands)</w:t>
            </w:r>
          </w:p>
        </w:tc>
        <w:tc>
          <w:tcPr>
            <w:tcW w:w="2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2,234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tonnage per workday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34.90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shipments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3,180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shipments per workday (in thousands)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49.69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25.54</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picked up revenue per shipment (excluding fuel surcharge)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20" w:type="dxa"/>
            <w:vAlign w:val="bottom"/>
            <w:gridSpan w:val="2"/>
            <w:shd w:val="clear" w:color="auto" w:fill="CFF0FC"/>
          </w:tcPr>
          <w:p>
            <w:pPr>
              <w:ind w:left="20"/>
              <w:spacing w:after="0" w:line="236" w:lineRule="exact"/>
              <w:rPr>
                <w:sz w:val="20"/>
                <w:szCs w:val="20"/>
                <w:color w:val="auto"/>
              </w:rPr>
            </w:pPr>
            <w:r>
              <w:rPr>
                <w:rFonts w:ascii="Arial" w:cs="Arial" w:eastAsia="Arial" w:hAnsi="Arial"/>
                <w:sz w:val="24"/>
                <w:szCs w:val="24"/>
                <w:color w:val="auto"/>
                <w:vertAlign w:val="superscript"/>
              </w:rPr>
              <w:t>(b)</w:t>
            </w:r>
            <w:r>
              <w:rPr>
                <w:rFonts w:ascii="Arial" w:cs="Arial" w:eastAsia="Arial" w:hAnsi="Arial"/>
                <w:sz w:val="18"/>
                <w:szCs w:val="18"/>
                <w:color w:val="auto"/>
              </w:rPr>
              <w:t xml:space="preserve"> Reconciliation of operating revenue to total picked up revenue:</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left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1,158.6</w:t>
            </w:r>
          </w:p>
        </w:tc>
        <w:tc>
          <w:tcPr>
            <w:tcW w:w="16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FF0FC"/>
          </w:tcPr>
          <w:p>
            <w:pPr>
              <w:spacing w:after="0"/>
              <w:rPr>
                <w:sz w:val="21"/>
                <w:szCs w:val="21"/>
                <w:color w:val="auto"/>
              </w:rPr>
            </w:pPr>
          </w:p>
        </w:tc>
        <w:tc>
          <w:tcPr>
            <w:tcW w:w="6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revenue deferral and other</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 picked up revenue</w:t>
            </w: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1,141.0</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1,252.4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(a)   Percent change based on unrounded figures and not the rounded figures presented.</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-4358640</wp:posOffset>
            </wp:positionV>
            <wp:extent cx="705485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-4050030</wp:posOffset>
            </wp:positionV>
            <wp:extent cx="705485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-3741420</wp:posOffset>
            </wp:positionV>
            <wp:extent cx="705485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-3432810</wp:posOffset>
            </wp:positionV>
            <wp:extent cx="705485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-3124200</wp:posOffset>
            </wp:positionV>
            <wp:extent cx="705485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-2506980</wp:posOffset>
            </wp:positionV>
            <wp:extent cx="705485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-2198370</wp:posOffset>
            </wp:positionV>
            <wp:extent cx="705485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-1889760</wp:posOffset>
            </wp:positionV>
            <wp:extent cx="705485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-1581150</wp:posOffset>
            </wp:positionV>
            <wp:extent cx="705485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-1272540</wp:posOffset>
            </wp:positionV>
            <wp:extent cx="705485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-278130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-278130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14"/>
          <w:szCs w:val="14"/>
          <w:color w:val="auto"/>
        </w:rPr>
        <w:t>(b)</w:t>
        <w:tab/>
        <w:t>Does not equal financial statement revenue due to revenue recognition adjustments between accounting periods and the impact of other revenue.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184"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As previously discussed in the “Our Business” section, we use certain non-GAAP financial measures to assess performance including EBITDA and Adjusted EBITDA. 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These secondary measures should be considered in addition to the results prepared in accordance with GAAP, but should not be considered a substitute for, or superior to, our GAAP financial measures.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 of net loss to EBITDA and EBITDA to Adjusted EBITDA (defined in our TL Agreements as “Consolidated EBITDA”) for the first quarter of 2023 and 2022, and the trailing twelve months ended March 31, 2023 and 2022,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Trailing-Twelve-Months Ended</w:t>
            </w:r>
          </w:p>
        </w:tc>
      </w:tr>
      <w:tr>
        <w:trPr>
          <w:trHeight w:val="169"/>
        </w:trPr>
        <w:tc>
          <w:tcPr>
            <w:tcW w:w="5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38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 2023</w:t>
            </w: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r>
      <w:tr>
        <w:trPr>
          <w:trHeight w:val="237"/>
        </w:trPr>
        <w:tc>
          <w:tcPr>
            <w:tcW w:w="5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(27.5 )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(73.3 )</w:t>
            </w:r>
          </w:p>
        </w:tc>
      </w:tr>
      <w:tr>
        <w:trPr>
          <w:trHeight w:val="249"/>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for TL Agreements: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(33.0 )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r>
      <w:tr>
        <w:trPr>
          <w:trHeight w:val="249"/>
        </w:trPr>
        <w:tc>
          <w:tcPr>
            <w:tcW w:w="5840" w:type="dxa"/>
            <w:vAlign w:val="bottom"/>
            <w:gridSpan w:val="2"/>
            <w:shd w:val="clear" w:color="auto" w:fill="CFF0FC"/>
          </w:tcPr>
          <w:p>
            <w:pPr>
              <w:ind w:left="200"/>
              <w:spacing w:after="0" w:line="249" w:lineRule="exact"/>
              <w:rPr>
                <w:sz w:val="20"/>
                <w:szCs w:val="20"/>
                <w:color w:val="auto"/>
              </w:rPr>
            </w:pPr>
            <w:r>
              <w:rPr>
                <w:rFonts w:ascii="Arial" w:cs="Arial" w:eastAsia="Arial" w:hAnsi="Arial"/>
                <w:sz w:val="18"/>
                <w:szCs w:val="18"/>
                <w:color w:val="auto"/>
              </w:rPr>
              <w:t>Non-cash reserve changes</w:t>
            </w:r>
            <w:r>
              <w:rPr>
                <w:rFonts w:ascii="Arial" w:cs="Arial" w:eastAsia="Arial" w:hAnsi="Arial"/>
                <w:sz w:val="24"/>
                <w:szCs w:val="24"/>
                <w:color w:val="auto"/>
                <w:vertAlign w:val="superscript"/>
              </w:rPr>
              <w:t>(a)</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Non-union pension settlement charge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0"/>
              <w:spacing w:after="0" w:line="249" w:lineRule="exact"/>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24"/>
                <w:szCs w:val="24"/>
                <w:color w:val="auto"/>
                <w:vertAlign w:val="superscript"/>
              </w:rPr>
              <w:t>(b)</w:t>
            </w: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840" w:type="dxa"/>
            <w:vAlign w:val="bottom"/>
            <w:gridSpan w:val="2"/>
          </w:tcPr>
          <w:p>
            <w:pPr>
              <w:ind w:left="300"/>
              <w:spacing w:after="0"/>
              <w:rPr>
                <w:sz w:val="20"/>
                <w:szCs w:val="20"/>
                <w:color w:val="auto"/>
              </w:rPr>
            </w:pPr>
            <w:r>
              <w:rPr>
                <w:rFonts w:ascii="Arial" w:cs="Arial" w:eastAsia="Arial" w:hAnsi="Arial"/>
                <w:sz w:val="18"/>
                <w:szCs w:val="18"/>
                <w:color w:val="auto"/>
              </w:rPr>
              <w:t>Department of Defense settlement charge</w:t>
            </w: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Adjusted EBITDA prior to 10% threshold</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0"/>
                <w:szCs w:val="20"/>
                <w:color w:val="auto"/>
              </w:rPr>
            </w:pPr>
          </w:p>
        </w:tc>
      </w:tr>
      <w:tr>
        <w:trPr>
          <w:trHeight w:val="249"/>
        </w:trPr>
        <w:tc>
          <w:tcPr>
            <w:tcW w:w="5840" w:type="dxa"/>
            <w:vAlign w:val="bottom"/>
            <w:gridSpan w:val="2"/>
            <w:shd w:val="clear" w:color="auto" w:fill="CFF0FC"/>
          </w:tcPr>
          <w:p>
            <w:pPr>
              <w:ind w:left="200"/>
              <w:spacing w:after="0" w:line="249" w:lineRule="exact"/>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24"/>
                <w:szCs w:val="24"/>
                <w:color w:val="auto"/>
                <w:vertAlign w:val="superscript"/>
              </w:rPr>
              <w:t>(b)</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top w:val="single" w:sz="8" w:color="CFF0FC"/>
            </w:tcBorders>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-2365375</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-2365375</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-2365375</wp:posOffset>
            </wp:positionV>
            <wp:extent cx="685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-505460</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-505460</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-505460</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2"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Non-cash reserve changes reflect the net charges for union and nonunion vacation, with such adjustments to be reduced by cash charges in a future period when paid.</w:t>
      </w:r>
    </w:p>
    <w:p>
      <w:pPr>
        <w:jc w:val="both"/>
        <w:ind w:left="380" w:hanging="372"/>
        <w:spacing w:after="0" w:line="229"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Pursuant to the TL Agreements, Adjusted EBITDA limits certain adjustments in aggregate to 10% of the trailing-twelve-month ("TTM")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and any necessary adjustment resulting from this limitation, if applicable, will be presented here. The sum of the quarters may not necessarily equal TTM Adjusted EBITDA due to the expiration of adjustments from prior periods.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Financial Condition, Liquidity and Capital Resources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sections provide aggregated information regarding our financial condition, liquidity and capital resources. As of March 31, 2023 and December 31, 2022, our total debt was $1,477.8 million and $1,538.0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sources of liquidity are cash and cash equivalents, any prospective net cash flow from operations and available borrowings under our ABL Facility. As of March 31, 2023, our cash and cash equivalents, exclusive of restricted amounts held in escrow, was $154.7 million.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2023, our Availability under our ABL Facility was $54.1 million, and our Managed Accessibility (as defined below) was $12.8 million. Availability is derived by reducing the amount that may be advanced against eligible receivables plus eligible borrowing base cash by certain reserves imposed by the ABL Agent and our $359.3 million of outstanding letters of credit. Our Managed Accessibility represents the maximum amount we would access on the ABL Facility and is adjusted for eligible receivables plus eligible borrowing base cash measured as of March 31, 2023.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April 14, 2023. Cash and cash equivalents and Managed Accessibility totaled $167.5 million as of March 31, 2023.</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our Availability under our ABL Facility was $47.7 million, and our Managed Accessibility was $6.7 million. Cash and cash equivalents and Managed Accessibility totaled $241.8 million at December 31, 2022.</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detailed in Footnote 3 to the financial statements, the Company has $567.4 million in debt due June 30, 2024 and $729.4 million in debt due September 30, 2024. At March 31, 2023, the Company had cash and cash equivalents and Managed Accessibility of $167.5 million. On or before the maturation of debt in 2024, the Company will require substantial additional liquidity to satisfy these debt obligations. The Company is currently evaluating strategies to obtain the needed additional liquidity to satisfy these obligations. These strategies may include, but are not limited to, issuing debt or entering into other financing arrangements. There can be no assurance that the Company will be able to obtain additional liquidity when needed or under acceptable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UST Loans and Credit Agreement, the Company has a quarterly requirement to maintain a trailing-twelve-month ("TTM") Adjusted EBITDA of $200.0 million through the maturity of these agreements. Management expects, based on actual and forecasted operating results, the Company will meet this covenant requirement for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2023 and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8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(27.2 )</w:t>
            </w: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(29.8 )</w:t>
            </w:r>
          </w:p>
        </w:tc>
      </w:tr>
      <w:tr>
        <w:trPr>
          <w:trHeight w:val="249"/>
        </w:trPr>
        <w:tc>
          <w:tcPr>
            <w:tcW w:w="8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(69.7 )</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(9.4 )</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operating activities was $12.6 million during the first quarter of 2023, compared to $33.5 million used during the first quarter of 2022. The increase in cash provided was primarily attributable to changes in working capital, including a $78.0 million increase in accounts receivable collected and a $27.3 million increase in cash due to other operating liabilities primarily related to lower short term incentive payments, partially offset by a increase in cash used of $47.1 million in accounts payable. Additionally, the Company experienced a $27.1 million increase in net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was $27.2 million during the first quarter of 2023 compared to $29.8 million of cash used during the first quarter of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$2.6 million in cash used was primarily driven by a decrease in cash outflows on revenue equipment acquisitions.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Financing Cash Flow</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was $69.7 million during the first quarter of 2023, compared to $9.4 million used during the first quarter of 2022. The increase in cash used by financing activities for the first quarter of 2023 as compared to 2022 was related to the paydown of our A&amp;R CDA and additional paydowns on our Term Loan due to remittance of property sales proceeds.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for the first quarter of 2023 and 2022 were $29.6 million and $36.4 million, respectively. These amounts were principally used to fund the purchase of revenue equipment, to improve our technology infrastructure and to refurbish engines for our revenue equipment fleet.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sections summarize consolidated information regarding our contractual cash obligations and other commercial commitments for any updates for material changes during the reporting period ended March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completed a review of our material cash requirements to analyze and disclose material changes, if any, in those requirements between those expected cash outflows as of December 31, 2022, as detailed in the Form 2022 10-K, and those as of March 31, 2023.</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changes in our cash requirements, for cash outflows that we are contractually obligated to make were considered by the Company and determined to be reasonably expected based upon our prior financial statement disclosures or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completed a review of our other commercial commitments in order to analyze and disclose material changes, if any, in those commitments between those as of December 31, 2022, as detailed in the 2022 Form 10-K, and those as of March 31, 2023. As a result, the Company determined that there were no material changes to disclose.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off-balance sheet arrangements except for other contractual obligations for letters of credit and surety bonds and normal course service agreements and capital purchases, which were disclosed in the 2022 Form 10-K. Additionally, there have been no material changes to these arrangements subsequent to December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8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the 2022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2023 and has concluded that our disclosure controls and procedures were effective as of March 31, 2023.</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u w:val="single" w:color="auto"/>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should carefully consider the factors discussed in Part I, Item IA. “Risk Factors” in our Annual Report on Form 10-K for the year ended December 31, 2022 which could materially affect our business, financial condition or future results. The risks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spacing w:after="0"/>
              <w:rPr>
                <w:sz w:val="20"/>
                <w:szCs w:val="20"/>
                <w:color w:val="auto"/>
              </w:rPr>
            </w:pPr>
            <w:r>
              <w:rPr>
                <w:rFonts w:ascii="Arial" w:cs="Arial" w:eastAsia="Arial" w:hAnsi="Arial"/>
                <w:sz w:val="18"/>
                <w:szCs w:val="18"/>
                <w:color w:val="auto"/>
                <w:w w:val="97"/>
              </w:rPr>
              <w:t>Item 6. Exhibits</w:t>
            </w: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31.1*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563C1"/>
            </w:tcBorders>
            <w:gridSpan w:val="6"/>
          </w:tcPr>
          <w:p>
            <w:pPr>
              <w:spacing w:after="0"/>
              <w:rPr>
                <w:sz w:val="20"/>
                <w:szCs w:val="20"/>
                <w:color w:val="auto"/>
              </w:rPr>
            </w:pPr>
            <w:r>
              <w:rPr>
                <w:rFonts w:ascii="Arial" w:cs="Arial" w:eastAsia="Arial" w:hAnsi="Arial"/>
                <w:sz w:val="18"/>
                <w:szCs w:val="18"/>
                <w:color w:val="0563C1"/>
                <w:w w:val="91"/>
              </w:rPr>
              <w:t>Certification of Darren D. Hawkins filed pursuant to Exchange Act Rules 13a-14 and 15d-14, as adopted pursuant to Section 302 of the</w:t>
            </w:r>
          </w:p>
        </w:tc>
        <w:tc>
          <w:tcPr>
            <w:tcW w:w="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bottom w:val="single" w:sz="8" w:color="0563C1"/>
            </w:tcBorders>
            <w:gridSpan w:val="2"/>
          </w:tcPr>
          <w:p>
            <w:pPr>
              <w:spacing w:after="0" w:line="196" w:lineRule="exact"/>
              <w:rPr>
                <w:sz w:val="20"/>
                <w:szCs w:val="20"/>
                <w:color w:val="auto"/>
              </w:rPr>
            </w:pPr>
            <w:r>
              <w:rPr>
                <w:rFonts w:ascii="Arial" w:cs="Arial" w:eastAsia="Arial" w:hAnsi="Arial"/>
                <w:sz w:val="18"/>
                <w:szCs w:val="18"/>
                <w:color w:val="0563C1"/>
                <w:w w:val="90"/>
              </w:rPr>
              <w:t>Sarbanes-Oxley Act of 2002.</w:t>
            </w:r>
          </w:p>
        </w:tc>
        <w:tc>
          <w:tcPr>
            <w:tcW w:w="7740" w:type="dxa"/>
            <w:vAlign w:val="bottom"/>
            <w:gridSpan w:val="5"/>
          </w:tcPr>
          <w:p>
            <w:pPr>
              <w:spacing w:after="0"/>
              <w:rPr>
                <w:sz w:val="17"/>
                <w:szCs w:val="17"/>
                <w:color w:val="auto"/>
              </w:rPr>
            </w:pPr>
          </w:p>
        </w:tc>
      </w:tr>
      <w:tr>
        <w:trPr>
          <w:trHeight w:val="344"/>
        </w:trPr>
        <w:tc>
          <w:tcPr>
            <w:tcW w:w="520" w:type="dxa"/>
            <w:vAlign w:val="bottom"/>
          </w:tcPr>
          <w:p>
            <w:pPr>
              <w:ind w:left="80"/>
              <w:spacing w:after="0"/>
              <w:rPr>
                <w:sz w:val="20"/>
                <w:szCs w:val="20"/>
                <w:color w:val="auto"/>
              </w:rPr>
            </w:pPr>
            <w:r>
              <w:rPr>
                <w:rFonts w:ascii="Arial" w:cs="Arial" w:eastAsia="Arial" w:hAnsi="Arial"/>
                <w:sz w:val="18"/>
                <w:szCs w:val="18"/>
                <w:color w:val="auto"/>
                <w:w w:val="99"/>
              </w:rPr>
              <w:t>31.2*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1"/>
              </w:rPr>
              <w:t>Certification of Daniel L. Olivier filed pursuant to Exchange Act Rules 13a-14 and 15d-14, as adopted pursuant to Section 302 of the</w:t>
            </w:r>
          </w:p>
        </w:tc>
        <w:tc>
          <w:tcPr>
            <w:tcW w:w="220" w:type="dxa"/>
            <w:vAlign w:val="bottom"/>
            <w:gridSpan w:val="3"/>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bottom w:val="single" w:sz="8" w:color="0563C1"/>
            </w:tcBorders>
            <w:gridSpan w:val="2"/>
          </w:tcPr>
          <w:p>
            <w:pPr>
              <w:spacing w:after="0" w:line="196" w:lineRule="exact"/>
              <w:rPr>
                <w:sz w:val="20"/>
                <w:szCs w:val="20"/>
                <w:color w:val="auto"/>
              </w:rPr>
            </w:pPr>
            <w:r>
              <w:rPr>
                <w:rFonts w:ascii="Arial" w:cs="Arial" w:eastAsia="Arial" w:hAnsi="Arial"/>
                <w:sz w:val="18"/>
                <w:szCs w:val="18"/>
                <w:color w:val="0563C1"/>
                <w:w w:val="90"/>
              </w:rPr>
              <w:t>Sarbanes-Oxley Act of 2002.</w:t>
            </w:r>
          </w:p>
        </w:tc>
        <w:tc>
          <w:tcPr>
            <w:tcW w:w="7740" w:type="dxa"/>
            <w:vAlign w:val="bottom"/>
            <w:gridSpan w:val="5"/>
          </w:tcPr>
          <w:p>
            <w:pPr>
              <w:spacing w:after="0"/>
              <w:rPr>
                <w:sz w:val="17"/>
                <w:szCs w:val="17"/>
                <w:color w:val="auto"/>
              </w:rPr>
            </w:pPr>
          </w:p>
        </w:tc>
      </w:tr>
      <w:tr>
        <w:trPr>
          <w:trHeight w:val="344"/>
        </w:trPr>
        <w:tc>
          <w:tcPr>
            <w:tcW w:w="520" w:type="dxa"/>
            <w:vAlign w:val="bottom"/>
          </w:tcPr>
          <w:p>
            <w:pPr>
              <w:ind w:left="80"/>
              <w:spacing w:after="0"/>
              <w:rPr>
                <w:sz w:val="20"/>
                <w:szCs w:val="20"/>
                <w:color w:val="auto"/>
              </w:rPr>
            </w:pPr>
            <w:r>
              <w:rPr>
                <w:rFonts w:ascii="Arial" w:cs="Arial" w:eastAsia="Arial" w:hAnsi="Arial"/>
                <w:sz w:val="18"/>
                <w:szCs w:val="18"/>
                <w:color w:val="auto"/>
                <w:w w:val="99"/>
              </w:rPr>
              <w:t>32.1*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0563C1"/>
                <w:w w:val="91"/>
              </w:rPr>
              <w:t>Certification of Darren D. Hawkins furnished pursuant to 18 U.S.C. Section 1350, as adopted pursuant to Section 906 of the Sarbanes-</w:t>
            </w: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80" w:type="dxa"/>
            <w:vAlign w:val="bottom"/>
            <w:tcBorders>
              <w:top w:val="single" w:sz="8" w:color="0563C1"/>
            </w:tcBorders>
            <w:gridSpan w:val="5"/>
          </w:tcPr>
          <w:p>
            <w:pPr>
              <w:spacing w:after="0" w:line="196" w:lineRule="exact"/>
              <w:rPr>
                <w:sz w:val="20"/>
                <w:szCs w:val="20"/>
                <w:color w:val="auto"/>
              </w:rPr>
            </w:pPr>
            <w:r>
              <w:rPr>
                <w:rFonts w:ascii="Arial" w:cs="Arial" w:eastAsia="Arial" w:hAnsi="Arial"/>
                <w:sz w:val="18"/>
                <w:szCs w:val="18"/>
                <w:color w:val="0563C1"/>
              </w:rPr>
              <w:t>Oxley Act of 2002.</w:t>
            </w:r>
          </w:p>
        </w:tc>
        <w:tc>
          <w:tcPr>
            <w:tcW w:w="160" w:type="dxa"/>
            <w:vAlign w:val="bottom"/>
            <w:gridSpan w:val="2"/>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44"/>
        </w:trPr>
        <w:tc>
          <w:tcPr>
            <w:tcW w:w="520" w:type="dxa"/>
            <w:vAlign w:val="bottom"/>
          </w:tcPr>
          <w:p>
            <w:pPr>
              <w:ind w:left="80"/>
              <w:spacing w:after="0"/>
              <w:rPr>
                <w:sz w:val="20"/>
                <w:szCs w:val="20"/>
                <w:color w:val="auto"/>
              </w:rPr>
            </w:pPr>
            <w:r>
              <w:rPr>
                <w:rFonts w:ascii="Arial" w:cs="Arial" w:eastAsia="Arial" w:hAnsi="Arial"/>
                <w:sz w:val="18"/>
                <w:szCs w:val="18"/>
                <w:color w:val="auto"/>
                <w:w w:val="99"/>
              </w:rPr>
              <w:t>32.2*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2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color w:val="0563C1"/>
                <w:w w:val="90"/>
              </w:rPr>
              <w:t>Certification of Daniel L. Olivier furnished pursuant to 18 U.S.C. Section 1350, as adopted pursuant to Section 906 of the Sarbanes-</w:t>
            </w:r>
          </w:p>
        </w:tc>
        <w:tc>
          <w:tcPr>
            <w:tcW w:w="320" w:type="dxa"/>
            <w:vAlign w:val="bottom"/>
            <w:gridSpan w:val="4"/>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40" w:type="dxa"/>
            <w:vAlign w:val="bottom"/>
            <w:gridSpan w:val="7"/>
          </w:tcPr>
          <w:p>
            <w:pPr>
              <w:spacing w:after="0" w:line="196" w:lineRule="exact"/>
              <w:rPr>
                <w:sz w:val="20"/>
                <w:szCs w:val="20"/>
                <w:color w:val="auto"/>
              </w:rPr>
            </w:pPr>
            <w:r>
              <w:rPr>
                <w:rFonts w:ascii="Arial" w:cs="Arial" w:eastAsia="Arial" w:hAnsi="Arial"/>
                <w:sz w:val="18"/>
                <w:szCs w:val="18"/>
                <w:color w:val="0563C1"/>
              </w:rPr>
              <w:t>Oxley Act of 2002.</w:t>
            </w:r>
          </w:p>
        </w:tc>
      </w:tr>
      <w:tr>
        <w:trPr>
          <w:trHeight w:val="20"/>
        </w:trPr>
        <w:tc>
          <w:tcPr>
            <w:tcW w:w="1220" w:type="dxa"/>
            <w:vAlign w:val="bottom"/>
            <w:gridSpan w:val="4"/>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8460" w:type="dxa"/>
            <w:vAlign w:val="bottom"/>
            <w:gridSpan w:val="6"/>
          </w:tcPr>
          <w:p>
            <w:pPr>
              <w:spacing w:after="0" w:line="20" w:lineRule="exact"/>
              <w:rPr>
                <w:sz w:val="1"/>
                <w:szCs w:val="1"/>
                <w:color w:val="auto"/>
              </w:rPr>
            </w:pPr>
          </w:p>
        </w:tc>
      </w:tr>
      <w:tr>
        <w:trPr>
          <w:trHeight w:val="371"/>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within the Interline XBRL document.</w:t>
            </w:r>
          </w:p>
        </w:tc>
      </w:tr>
      <w:tr>
        <w:trPr>
          <w:trHeight w:val="365"/>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4"/>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1220" w:type="dxa"/>
            <w:vAlign w:val="bottom"/>
            <w:gridSpan w:val="4"/>
          </w:tcPr>
          <w:p>
            <w:pPr>
              <w:ind w:left="80"/>
              <w:spacing w:after="0"/>
              <w:rPr>
                <w:sz w:val="20"/>
                <w:szCs w:val="20"/>
                <w:color w:val="auto"/>
              </w:rPr>
            </w:pPr>
            <w:r>
              <w:rPr>
                <w:rFonts w:ascii="Arial" w:cs="Arial" w:eastAsia="Arial" w:hAnsi="Arial"/>
                <w:sz w:val="18"/>
                <w:szCs w:val="18"/>
                <w:color w:val="auto"/>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220" w:hanging="1138"/>
        <w:spacing w:after="0"/>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1"/>
          <w:szCs w:val="11"/>
          <w:color w:val="auto"/>
        </w:rPr>
        <w:t>_</w:t>
      </w:r>
      <w:r>
        <w:rPr>
          <w:rFonts w:ascii="Arial" w:cs="Arial" w:eastAsia="Arial" w:hAnsi="Arial"/>
          <w:sz w:val="17"/>
          <w:szCs w:val="17"/>
          <w:color w:val="auto"/>
        </w:rPr>
        <w:t>_________________________</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documents filed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YELLOW CORPORATION</w:t>
            </w:r>
          </w:p>
        </w:tc>
      </w:tr>
      <w:tr>
        <w:trPr>
          <w:trHeight w:val="736"/>
        </w:trPr>
        <w:tc>
          <w:tcPr>
            <w:tcW w:w="3460" w:type="dxa"/>
            <w:vAlign w:val="bottom"/>
          </w:tcPr>
          <w:p>
            <w:pPr>
              <w:ind w:left="20"/>
              <w:spacing w:after="0"/>
              <w:rPr>
                <w:sz w:val="20"/>
                <w:szCs w:val="20"/>
                <w:color w:val="auto"/>
              </w:rPr>
            </w:pPr>
            <w:r>
              <w:rPr>
                <w:rFonts w:ascii="Arial" w:cs="Arial" w:eastAsia="Arial" w:hAnsi="Arial"/>
                <w:sz w:val="18"/>
                <w:szCs w:val="18"/>
                <w:color w:val="auto"/>
              </w:rPr>
              <w:t>Date: May 3, 2023</w:t>
            </w:r>
          </w:p>
        </w:tc>
        <w:tc>
          <w:tcPr>
            <w:tcW w:w="2220" w:type="dxa"/>
            <w:vAlign w:val="bottom"/>
          </w:tcPr>
          <w:p>
            <w:pPr>
              <w:spacing w:after="0"/>
              <w:rPr>
                <w:sz w:val="24"/>
                <w:szCs w:val="24"/>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Darren D. Hawkins</w:t>
            </w:r>
          </w:p>
        </w:tc>
      </w:tr>
      <w:tr>
        <w:trPr>
          <w:trHeight w:val="230"/>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Darren D. Hawkins</w:t>
            </w:r>
          </w:p>
        </w:tc>
      </w:tr>
      <w:tr>
        <w:trPr>
          <w:trHeight w:val="242"/>
        </w:trPr>
        <w:tc>
          <w:tcPr>
            <w:tcW w:w="34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93"/>
        </w:trPr>
        <w:tc>
          <w:tcPr>
            <w:tcW w:w="3460" w:type="dxa"/>
            <w:vAlign w:val="bottom"/>
          </w:tcPr>
          <w:p>
            <w:pPr>
              <w:ind w:left="20"/>
              <w:spacing w:after="0"/>
              <w:rPr>
                <w:sz w:val="20"/>
                <w:szCs w:val="20"/>
                <w:color w:val="auto"/>
              </w:rPr>
            </w:pPr>
            <w:r>
              <w:rPr>
                <w:rFonts w:ascii="Arial" w:cs="Arial" w:eastAsia="Arial" w:hAnsi="Arial"/>
                <w:sz w:val="18"/>
                <w:szCs w:val="18"/>
                <w:color w:val="auto"/>
              </w:rPr>
              <w:t>Date: May 3, 2023</w:t>
            </w:r>
          </w:p>
        </w:tc>
        <w:tc>
          <w:tcPr>
            <w:tcW w:w="2220" w:type="dxa"/>
            <w:vAlign w:val="bottom"/>
          </w:tcPr>
          <w:p>
            <w:pPr>
              <w:spacing w:after="0"/>
              <w:rPr>
                <w:sz w:val="24"/>
                <w:szCs w:val="24"/>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L. Olivier</w:t>
            </w:r>
          </w:p>
        </w:tc>
      </w:tr>
      <w:tr>
        <w:trPr>
          <w:trHeight w:val="230"/>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Daniel L. Olivier</w:t>
            </w:r>
          </w:p>
        </w:tc>
      </w:tr>
      <w:tr>
        <w:trPr>
          <w:trHeight w:val="242"/>
        </w:trPr>
        <w:tc>
          <w:tcPr>
            <w:tcW w:w="34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662"/>
        </w:trPr>
        <w:tc>
          <w:tcPr>
            <w:tcW w:w="3460" w:type="dxa"/>
            <w:vAlign w:val="bottom"/>
          </w:tcPr>
          <w:p>
            <w:pPr>
              <w:spacing w:after="0"/>
              <w:rPr>
                <w:sz w:val="24"/>
                <w:szCs w:val="24"/>
                <w:color w:val="auto"/>
              </w:rPr>
            </w:pPr>
          </w:p>
        </w:tc>
        <w:tc>
          <w:tcPr>
            <w:tcW w:w="7780" w:type="dxa"/>
            <w:vAlign w:val="bottom"/>
            <w:gridSpan w:val="2"/>
          </w:tcPr>
          <w:p>
            <w:pPr>
              <w:jc w:val="right"/>
              <w:ind w:right="5430"/>
              <w:spacing w:after="0"/>
              <w:rPr>
                <w:sz w:val="20"/>
                <w:szCs w:val="20"/>
                <w:color w:val="auto"/>
              </w:rPr>
            </w:pPr>
            <w:r>
              <w:rPr>
                <w:rFonts w:ascii="Arial" w:cs="Arial" w:eastAsia="Arial" w:hAnsi="Arial"/>
                <w:sz w:val="18"/>
                <w:szCs w:val="18"/>
                <w:color w:val="auto"/>
              </w:rPr>
              <w:t>23</w:t>
            </w:r>
          </w:p>
        </w:tc>
      </w:tr>
      <w:tr>
        <w:trPr>
          <w:trHeight w:val="115"/>
        </w:trPr>
        <w:tc>
          <w:tcPr>
            <w:tcW w:w="34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Darren D. Hawkins,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Yellow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tabs>
          <w:tab w:leader="none" w:pos="678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Darren D. Hawkins</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L. Olivier,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Yellow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tabs>
          <w:tab w:leader="none" w:pos="676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7"/>
          <w:szCs w:val="17"/>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23495</wp:posOffset>
            </wp:positionV>
            <wp:extent cx="28632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Daniel L. Olivier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(Principal Financial Officer 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connection with the quarterly report of Yellow Corporation on Form 10-Q for the period ended March 31, 2023, as filed with the Securities and Exchange Commission on the date hereof (the “Report”), I, Darren D. Hawkins, Chief Executive Officer of Yellow Corporation, certify, pursuant to 18 U.S.C. Section 1350, as adopted pursuant to Section 906 of the Sarbanes-Oxley Act of 2002, that:</w:t>
      </w:r>
    </w:p>
    <w:p>
      <w:pPr>
        <w:spacing w:after="0" w:line="18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right="76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Yellow Corporation.</w:t>
      </w:r>
    </w:p>
    <w:p>
      <w:pPr>
        <w:spacing w:after="0" w:line="184" w:lineRule="exact"/>
        <w:rPr>
          <w:sz w:val="20"/>
          <w:szCs w:val="20"/>
          <w:color w:val="auto"/>
        </w:rPr>
      </w:pPr>
    </w:p>
    <w:p>
      <w:pPr>
        <w:ind w:left="60"/>
        <w:spacing w:after="0"/>
        <w:tabs>
          <w:tab w:leader="none" w:pos="676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23495</wp:posOffset>
            </wp:positionV>
            <wp:extent cx="28632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Darren D. Hawkins</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of Yellow Corporation on Form 10-Q for the period ended March 31, 2023, as filed with the Securities and Exchange Commission on the date hereof (the “Report”), I, Daniel L. Olivier, Chief Financial Officer of Yellow Corporation, certify, pursuant to 18 U.S.C. Section 1350, as adopted pursuant to Section 906 of the Sarbanes-Oxley Act of 2002, that:</w:t>
      </w:r>
    </w:p>
    <w:p>
      <w:pPr>
        <w:spacing w:after="0" w:line="18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right="7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Yellow Corporation.</w:t>
      </w:r>
    </w:p>
    <w:p>
      <w:pPr>
        <w:spacing w:after="0" w:line="184" w:lineRule="exact"/>
        <w:rPr>
          <w:sz w:val="20"/>
          <w:szCs w:val="20"/>
          <w:color w:val="auto"/>
        </w:rPr>
      </w:pPr>
    </w:p>
    <w:p>
      <w:pPr>
        <w:ind w:left="60"/>
        <w:spacing w:after="0"/>
        <w:tabs>
          <w:tab w:leader="none" w:pos="676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7"/>
          <w:szCs w:val="17"/>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23495</wp:posOffset>
            </wp:positionV>
            <wp:extent cx="2863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Daniel L. Olivier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(Principal Financial Officer 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2023-05-03T15:19:10Z</dcterms:created>
  <dcterms:modified xsi:type="dcterms:W3CDTF">2023-05-03T15:19:10Z</dcterms:modified>
</cp:coreProperties>
</file>