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August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Yellow Corporation</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4120" w:type="dxa"/>
            <w:vAlign w:val="bottom"/>
          </w:tcPr>
          <w:p>
            <w:pPr>
              <w:jc w:val="center"/>
              <w:ind w:right="288"/>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right"/>
              <w:ind w:right="1384"/>
              <w:spacing w:after="0"/>
              <w:rPr>
                <w:sz w:val="20"/>
                <w:szCs w:val="20"/>
                <w:color w:val="auto"/>
              </w:rPr>
            </w:pPr>
            <w:r>
              <w:rPr>
                <w:rFonts w:ascii="Arial" w:cs="Arial" w:eastAsia="Arial" w:hAnsi="Arial"/>
                <w:sz w:val="18"/>
                <w:szCs w:val="18"/>
                <w:b w:val="1"/>
                <w:bCs w:val="1"/>
                <w:color w:val="auto"/>
              </w:rPr>
              <w:t>0-12255</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48-0948788</w:t>
            </w:r>
          </w:p>
        </w:tc>
      </w:tr>
      <w:tr>
        <w:trPr>
          <w:trHeight w:val="144"/>
        </w:trPr>
        <w:tc>
          <w:tcPr>
            <w:tcW w:w="4120" w:type="dxa"/>
            <w:vAlign w:val="bottom"/>
          </w:tcPr>
          <w:p>
            <w:pPr>
              <w:jc w:val="center"/>
              <w:ind w:right="288"/>
              <w:spacing w:after="0" w:line="144" w:lineRule="exact"/>
              <w:rPr>
                <w:sz w:val="20"/>
                <w:szCs w:val="20"/>
                <w:color w:val="auto"/>
              </w:rPr>
            </w:pPr>
            <w:r>
              <w:rPr>
                <w:rFonts w:ascii="Arial" w:cs="Arial" w:eastAsia="Arial" w:hAnsi="Arial"/>
                <w:sz w:val="13"/>
                <w:szCs w:val="13"/>
                <w:b w:val="1"/>
                <w:bCs w:val="1"/>
                <w:color w:val="auto"/>
                <w:w w:val="87"/>
              </w:rPr>
              <w:t>(State or Other Jurisdiction</w:t>
            </w:r>
          </w:p>
        </w:tc>
        <w:tc>
          <w:tcPr>
            <w:tcW w:w="2860" w:type="dxa"/>
            <w:vAlign w:val="bottom"/>
          </w:tcPr>
          <w:p>
            <w:pPr>
              <w:jc w:val="center"/>
              <w:ind w:right="604"/>
              <w:spacing w:after="0" w:line="144" w:lineRule="exact"/>
              <w:rPr>
                <w:sz w:val="20"/>
                <w:szCs w:val="20"/>
                <w:color w:val="auto"/>
              </w:rPr>
            </w:pPr>
            <w:r>
              <w:rPr>
                <w:rFonts w:ascii="Arial" w:cs="Arial" w:eastAsia="Arial" w:hAnsi="Arial"/>
                <w:sz w:val="13"/>
                <w:szCs w:val="13"/>
                <w:b w:val="1"/>
                <w:bCs w:val="1"/>
                <w:color w:val="auto"/>
                <w:w w:val="88"/>
              </w:rPr>
              <w:t>(Commission File Number)</w:t>
            </w:r>
          </w:p>
        </w:tc>
        <w:tc>
          <w:tcPr>
            <w:tcW w:w="2020" w:type="dxa"/>
            <w:vAlign w:val="bottom"/>
          </w:tcPr>
          <w:p>
            <w:pPr>
              <w:jc w:val="center"/>
              <w:ind w:left="966"/>
              <w:spacing w:after="0" w:line="144"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4120" w:type="dxa"/>
            <w:vAlign w:val="bottom"/>
          </w:tcPr>
          <w:p>
            <w:pPr>
              <w:jc w:val="center"/>
              <w:ind w:right="268"/>
              <w:spacing w:after="0"/>
              <w:rPr>
                <w:sz w:val="20"/>
                <w:szCs w:val="20"/>
                <w:color w:val="auto"/>
              </w:rPr>
            </w:pPr>
            <w:r>
              <w:rPr>
                <w:rFonts w:ascii="Arial" w:cs="Arial" w:eastAsia="Arial" w:hAnsi="Arial"/>
                <w:sz w:val="13"/>
                <w:szCs w:val="13"/>
                <w:b w:val="1"/>
                <w:bCs w:val="1"/>
                <w:color w:val="auto"/>
                <w:w w:val="90"/>
              </w:rPr>
              <w:t>of Incorporation)</w:t>
            </w:r>
          </w:p>
        </w:tc>
        <w:tc>
          <w:tcPr>
            <w:tcW w:w="2860" w:type="dxa"/>
            <w:vAlign w:val="bottom"/>
          </w:tcPr>
          <w:p>
            <w:pPr>
              <w:spacing w:after="0"/>
              <w:rPr>
                <w:sz w:val="14"/>
                <w:szCs w:val="14"/>
                <w:color w:val="auto"/>
              </w:rPr>
            </w:pPr>
          </w:p>
        </w:tc>
        <w:tc>
          <w:tcPr>
            <w:tcW w:w="2020" w:type="dxa"/>
            <w:vAlign w:val="bottom"/>
          </w:tcPr>
          <w:p>
            <w:pPr>
              <w:jc w:val="center"/>
              <w:ind w:left="966"/>
              <w:spacing w:after="0"/>
              <w:rPr>
                <w:sz w:val="20"/>
                <w:szCs w:val="20"/>
                <w:color w:val="auto"/>
              </w:rPr>
            </w:pPr>
            <w:r>
              <w:rPr>
                <w:rFonts w:ascii="Arial" w:cs="Arial" w:eastAsia="Arial" w:hAnsi="Arial"/>
                <w:sz w:val="13"/>
                <w:szCs w:val="13"/>
                <w:b w:val="1"/>
                <w:bCs w:val="1"/>
                <w:color w:val="auto"/>
                <w:w w:val="89"/>
              </w:rPr>
              <w:t>Identification No.)</w:t>
            </w:r>
          </w:p>
        </w:tc>
      </w:tr>
      <w:tr>
        <w:trPr>
          <w:trHeight w:val="718"/>
        </w:trPr>
        <w:tc>
          <w:tcPr>
            <w:tcW w:w="4120" w:type="dxa"/>
            <w:vAlign w:val="bottom"/>
          </w:tcPr>
          <w:p>
            <w:pPr>
              <w:jc w:val="center"/>
              <w:ind w:right="288"/>
              <w:spacing w:after="0"/>
              <w:rPr>
                <w:sz w:val="20"/>
                <w:szCs w:val="20"/>
                <w:color w:val="auto"/>
              </w:rPr>
            </w:pPr>
            <w:r>
              <w:rPr>
                <w:rFonts w:ascii="Arial" w:cs="Arial" w:eastAsia="Arial" w:hAnsi="Arial"/>
                <w:sz w:val="16"/>
                <w:szCs w:val="16"/>
                <w:b w:val="1"/>
                <w:bCs w:val="1"/>
                <w:color w:val="auto"/>
                <w:w w:val="88"/>
              </w:rPr>
              <w:t>501 Commerce Street, Suite 1120, Nashville, Tennessee</w:t>
            </w:r>
          </w:p>
        </w:tc>
        <w:tc>
          <w:tcPr>
            <w:tcW w:w="2860" w:type="dxa"/>
            <w:vAlign w:val="bottom"/>
          </w:tcPr>
          <w:p>
            <w:pPr>
              <w:spacing w:after="0"/>
              <w:rPr>
                <w:sz w:val="24"/>
                <w:szCs w:val="24"/>
                <w:color w:val="auto"/>
              </w:rPr>
            </w:pPr>
          </w:p>
        </w:tc>
        <w:tc>
          <w:tcPr>
            <w:tcW w:w="2020" w:type="dxa"/>
            <w:vAlign w:val="bottom"/>
          </w:tcPr>
          <w:p>
            <w:pPr>
              <w:jc w:val="right"/>
              <w:ind w:right="186"/>
              <w:spacing w:after="0"/>
              <w:rPr>
                <w:sz w:val="20"/>
                <w:szCs w:val="20"/>
                <w:color w:val="auto"/>
              </w:rPr>
            </w:pPr>
            <w:r>
              <w:rPr>
                <w:rFonts w:ascii="Arial" w:cs="Arial" w:eastAsia="Arial" w:hAnsi="Arial"/>
                <w:sz w:val="18"/>
                <w:szCs w:val="18"/>
                <w:b w:val="1"/>
                <w:bCs w:val="1"/>
                <w:color w:val="auto"/>
              </w:rPr>
              <w:t>37203</w:t>
            </w:r>
          </w:p>
        </w:tc>
      </w:tr>
      <w:tr>
        <w:trPr>
          <w:trHeight w:val="173"/>
        </w:trPr>
        <w:tc>
          <w:tcPr>
            <w:tcW w:w="4120" w:type="dxa"/>
            <w:vAlign w:val="bottom"/>
          </w:tcPr>
          <w:p>
            <w:pPr>
              <w:jc w:val="center"/>
              <w:ind w:right="28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860" w:type="dxa"/>
            <w:vAlign w:val="bottom"/>
          </w:tcPr>
          <w:p>
            <w:pPr>
              <w:spacing w:after="0"/>
              <w:rPr>
                <w:sz w:val="15"/>
                <w:szCs w:val="15"/>
                <w:color w:val="auto"/>
              </w:rPr>
            </w:pPr>
          </w:p>
        </w:tc>
        <w:tc>
          <w:tcPr>
            <w:tcW w:w="2020" w:type="dxa"/>
            <w:vAlign w:val="bottom"/>
          </w:tcPr>
          <w:p>
            <w:pPr>
              <w:jc w:val="center"/>
              <w:ind w:left="966"/>
              <w:spacing w:after="0"/>
              <w:rPr>
                <w:sz w:val="20"/>
                <w:szCs w:val="20"/>
                <w:color w:val="auto"/>
              </w:rPr>
            </w:pPr>
            <w:r>
              <w:rPr>
                <w:rFonts w:ascii="Arial" w:cs="Arial" w:eastAsia="Arial" w:hAnsi="Arial"/>
                <w:sz w:val="13"/>
                <w:szCs w:val="13"/>
                <w:b w:val="1"/>
                <w:bCs w:val="1"/>
                <w:color w:val="auto"/>
                <w:w w:val="90"/>
              </w:rPr>
              <w:t>(Zip Code)</w:t>
            </w:r>
          </w:p>
        </w:tc>
      </w:tr>
    </w:tbl>
    <w:p>
      <w:pPr>
        <w:spacing w:after="0" w:line="200" w:lineRule="exact"/>
        <w:rPr>
          <w:sz w:val="24"/>
          <w:szCs w:val="24"/>
          <w:color w:val="auto"/>
        </w:rPr>
      </w:pPr>
    </w:p>
    <w:p>
      <w:pPr>
        <w:spacing w:after="0" w:line="2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(913) 696-6100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242570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80" w:hanging="339"/>
        <w:spacing w:after="0"/>
        <w:tabs>
          <w:tab w:leader="none" w:pos="8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Common Stock, $0.01 par value per share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YELL</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August 9, 2023, Yellow Corporation (the "Company") issued a press release announcing financial results as of and for the quarter ended June 30, 2023.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to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7, 2023, the Company was notified by the Listing Qualifications Staff (the “Staff”) of the Nasdaq Stock Market LLC (“Nasdaq”) that it commenced proceedings to delist the common stock of the Company, par value $0.01 (the “Common Stock”) pursuant to Nasdaq Listing Rules 101, 5110(b) and IM-5101-1, and has determined that the Common Stock will be delisted from the Nasdaq due to the Company’s filing of a voluntary cases under Chapter 11 of the Bankruptcy Code. The Company does not intend to appeal the determination and, therefore, it is expected that its Common Stock will be delisted, which would not affect any actions it may take in bankruptcy and does not change its reporting requirements under the rules of the Securities and Exchange Commission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Trading of the Common Stock will be suspended by Nasdaq at the opening of business on August 16,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disclosed in Item 2.02 above, on August 9, 2023, the Company issued a press release announcing its financial results as of and for the quarter ended June 30, 2023, attached hereto as Exhibit 99.1. The information set forth in Items 2.02 and 7.01 of this Current Report on Form 8-K, including Exhibit 99.1 attached hereto, is deemed to be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such a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680" w:type="dxa"/>
            <w:vAlign w:val="bottom"/>
          </w:tcPr>
          <w:p>
            <w:pPr>
              <w:spacing w:after="0"/>
              <w:rPr>
                <w:sz w:val="18"/>
                <w:szCs w:val="18"/>
                <w:color w:val="auto"/>
              </w:rPr>
            </w:pPr>
          </w:p>
        </w:tc>
      </w:tr>
      <w:tr>
        <w:trPr>
          <w:trHeight w:val="237"/>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Number</w:t>
            </w:r>
          </w:p>
        </w:tc>
        <w:tc>
          <w:tcPr>
            <w:tcW w:w="160" w:type="dxa"/>
            <w:vAlign w:val="bottom"/>
          </w:tcPr>
          <w:p>
            <w:pPr>
              <w:spacing w:after="0"/>
              <w:rPr>
                <w:sz w:val="20"/>
                <w:szCs w:val="20"/>
                <w:color w:val="auto"/>
              </w:rPr>
            </w:pPr>
          </w:p>
        </w:tc>
        <w:tc>
          <w:tcPr>
            <w:tcW w:w="9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8"/>
                <w:szCs w:val="18"/>
                <w:color w:val="auto"/>
              </w:rPr>
              <w:t>99.1</w:t>
            </w:r>
          </w:p>
        </w:tc>
        <w:tc>
          <w:tcPr>
            <w:tcW w:w="160" w:type="dxa"/>
            <w:vAlign w:val="bottom"/>
          </w:tcPr>
          <w:p>
            <w:pPr>
              <w:spacing w:after="0"/>
              <w:rPr>
                <w:sz w:val="16"/>
                <w:szCs w:val="16"/>
                <w:color w:val="auto"/>
              </w:rPr>
            </w:pPr>
          </w:p>
        </w:tc>
        <w:tc>
          <w:tcPr>
            <w:tcW w:w="9920" w:type="dxa"/>
            <w:vAlign w:val="bottom"/>
            <w:gridSpan w:val="2"/>
          </w:tcPr>
          <w:p>
            <w:pPr>
              <w:spacing w:after="0" w:line="189" w:lineRule="exact"/>
              <w:rPr>
                <w:sz w:val="20"/>
                <w:szCs w:val="20"/>
                <w:color w:val="auto"/>
              </w:rPr>
            </w:pPr>
            <w:r>
              <w:rPr>
                <w:rFonts w:ascii="Arial" w:cs="Arial" w:eastAsia="Arial" w:hAnsi="Arial"/>
                <w:sz w:val="18"/>
                <w:szCs w:val="18"/>
                <w:color w:val="0000FF"/>
              </w:rPr>
              <w:t>Press release issued by the Company, dated August 9, 2023</w:t>
            </w: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24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2"/>
                <w:szCs w:val="22"/>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76"/>
        </w:trPr>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YELLOW CORPORATION</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Leah K.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Leah K. Dawson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349250</wp:posOffset>
            </wp:positionV>
            <wp:extent cx="1731645" cy="608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3164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Yellow Corporation Reports Second Quarter 2023 Results</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NASHVILLE, Tenn., August 9, 2023 – Yellow Corporation (NASDAQ: YELL) reported results for the second quarter ended June 30, 2023. Operating revenue was $1.127 billion and operating income was $38.9 million which included a $75.9 million gain on property disposals. In comparison, operating revenue in the second quarter of 2022 was $1.424 billion and operating income was $99.2 million which included a $3.2 million net gain on property disposals.</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Net loss for second quarter 2023 was $14.7 million, or $0.28 per share, compared to net income of $60.0 million, or $1.17 per share in the second quarter 2022.</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Following a substantial workforce reduction impacting all areas of the organization, on August 6th, the Company and its domestic subsidiaries filed voluntary petitions (the “Chapter 11 Cases”) in the United States Bankruptcy Court for the district of Delaware seeking relief under Chapter 11 of Title 11 of the United States Bankruptcy Code.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investor@myyellow.com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Media Contact: media@myyellow.com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 except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590"/>
              <w:spacing w:after="0"/>
              <w:rPr>
                <w:sz w:val="20"/>
                <w:szCs w:val="20"/>
                <w:color w:val="auto"/>
              </w:rPr>
            </w:pPr>
            <w:r>
              <w:rPr>
                <w:rFonts w:ascii="Arial" w:cs="Arial" w:eastAsia="Arial" w:hAnsi="Arial"/>
                <w:sz w:val="14"/>
                <w:szCs w:val="14"/>
                <w:b w:val="1"/>
                <w:bCs w:val="1"/>
                <w:color w:val="auto"/>
              </w:rPr>
              <w:t>June 30, 2023</w:t>
            </w:r>
          </w:p>
        </w:tc>
        <w:tc>
          <w:tcPr>
            <w:tcW w:w="160" w:type="dxa"/>
            <w:vAlign w:val="bottom"/>
          </w:tcPr>
          <w:p>
            <w:pPr>
              <w:spacing w:after="0"/>
              <w:rPr>
                <w:sz w:val="16"/>
                <w:szCs w:val="16"/>
                <w:color w:val="auto"/>
              </w:rPr>
            </w:pPr>
          </w:p>
        </w:tc>
        <w:tc>
          <w:tcPr>
            <w:tcW w:w="15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3"/>
              </w:rPr>
              <w:t>December 31, 2022</w:t>
            </w: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235.1</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Restricted amounts held in escrow</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599.7</w:t>
            </w:r>
          </w:p>
        </w:tc>
        <w:tc>
          <w:tcPr>
            <w:tcW w:w="140" w:type="dxa"/>
            <w:vAlign w:val="bottom"/>
            <w:shd w:val="clear" w:color="auto" w:fill="CFF0FC"/>
          </w:tcPr>
          <w:p>
            <w:pPr>
              <w:spacing w:after="0"/>
              <w:rPr>
                <w:sz w:val="21"/>
                <w:szCs w:val="21"/>
                <w:color w:val="auto"/>
              </w:rPr>
            </w:pPr>
          </w:p>
        </w:tc>
      </w:tr>
      <w:tr>
        <w:trPr>
          <w:trHeight w:val="243"/>
        </w:trPr>
        <w:tc>
          <w:tcPr>
            <w:tcW w:w="768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2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21"/>
                <w:szCs w:val="21"/>
                <w:color w:val="auto"/>
              </w:rPr>
            </w:pPr>
          </w:p>
        </w:tc>
      </w:tr>
      <w:tr>
        <w:trPr>
          <w:trHeight w:val="237"/>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818.6</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3,065.9</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3,109.0</w:t>
            </w:r>
          </w:p>
        </w:tc>
        <w:tc>
          <w:tcPr>
            <w:tcW w:w="140" w:type="dxa"/>
            <w:vAlign w:val="bottom"/>
            <w:shd w:val="clear" w:color="auto" w:fill="CFF0FC"/>
          </w:tcPr>
          <w:p>
            <w:pPr>
              <w:spacing w:after="0"/>
              <w:rPr>
                <w:sz w:val="21"/>
                <w:szCs w:val="21"/>
                <w:color w:val="auto"/>
              </w:rPr>
            </w:pPr>
          </w:p>
        </w:tc>
      </w:tr>
      <w:tr>
        <w:trPr>
          <w:trHeight w:val="243"/>
        </w:trPr>
        <w:tc>
          <w:tcPr>
            <w:tcW w:w="7680" w:type="dxa"/>
            <w:vAlign w:val="bottom"/>
          </w:tcPr>
          <w:p>
            <w:pPr>
              <w:ind w:left="200"/>
              <w:spacing w:after="0"/>
              <w:rPr>
                <w:sz w:val="20"/>
                <w:szCs w:val="20"/>
                <w:color w:val="auto"/>
              </w:rPr>
            </w:pPr>
            <w:r>
              <w:rPr>
                <w:rFonts w:ascii="Arial" w:cs="Arial" w:eastAsia="Arial" w:hAnsi="Arial"/>
                <w:sz w:val="18"/>
                <w:szCs w:val="18"/>
                <w:color w:val="auto"/>
              </w:rPr>
              <w:t>Less - accumulated depreciation</w:t>
            </w:r>
          </w:p>
        </w:tc>
        <w:tc>
          <w:tcPr>
            <w:tcW w:w="240" w:type="dxa"/>
            <w:vAlign w:val="bottom"/>
          </w:tcPr>
          <w:p>
            <w:pPr>
              <w:spacing w:after="0"/>
              <w:rPr>
                <w:sz w:val="21"/>
                <w:szCs w:val="21"/>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(1,926.2 )</w:t>
            </w:r>
          </w:p>
        </w:tc>
        <w:tc>
          <w:tcPr>
            <w:tcW w:w="1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(1,940.0 )</w:t>
            </w: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property and equipment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3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0"/>
                <w:szCs w:val="20"/>
                <w:color w:val="auto"/>
              </w:rPr>
            </w:pPr>
          </w:p>
        </w:tc>
        <w:tc>
          <w:tcPr>
            <w:tcW w:w="16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139.7</w:t>
            </w:r>
          </w:p>
        </w:tc>
        <w:tc>
          <w:tcPr>
            <w:tcW w:w="140" w:type="dxa"/>
            <w:vAlign w:val="bottom"/>
          </w:tcPr>
          <w:p>
            <w:pPr>
              <w:spacing w:after="0"/>
              <w:rPr>
                <w:sz w:val="20"/>
                <w:szCs w:val="20"/>
                <w:color w:val="auto"/>
              </w:rPr>
            </w:pPr>
          </w:p>
        </w:tc>
      </w:tr>
      <w:tr>
        <w:trPr>
          <w:trHeight w:val="24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2,279.3</w:t>
            </w:r>
          </w:p>
        </w:tc>
        <w:tc>
          <w:tcPr>
            <w:tcW w:w="14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Deficit</w:t>
            </w: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Wages, vacations and employee benefits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235.1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221.4</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Other current and accrued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188.3</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182.1</w:t>
            </w:r>
          </w:p>
        </w:tc>
        <w:tc>
          <w:tcPr>
            <w:tcW w:w="140" w:type="dxa"/>
            <w:vAlign w:val="bottom"/>
          </w:tcPr>
          <w:p>
            <w:pPr>
              <w:spacing w:after="0"/>
              <w:rPr>
                <w:sz w:val="20"/>
                <w:szCs w:val="20"/>
                <w:color w:val="auto"/>
              </w:rPr>
            </w:pPr>
          </w:p>
        </w:tc>
      </w:tr>
      <w:tr>
        <w:trPr>
          <w:trHeight w:val="24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1,274.5</w:t>
            </w:r>
          </w:p>
        </w:tc>
        <w:tc>
          <w:tcPr>
            <w:tcW w:w="3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1,916.6</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717.0</w:t>
            </w:r>
          </w:p>
        </w:tc>
        <w:tc>
          <w:tcPr>
            <w:tcW w:w="140" w:type="dxa"/>
            <w:vAlign w:val="bottom"/>
          </w:tcPr>
          <w:p>
            <w:pPr>
              <w:spacing w:after="0"/>
              <w:rPr>
                <w:sz w:val="20"/>
                <w:szCs w:val="20"/>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202.9</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1,466.2</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Pension and postretirement</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Claims and other liabilities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248.8</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249.0</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
              <w:spacing w:after="0"/>
              <w:rPr>
                <w:sz w:val="20"/>
                <w:szCs w:val="20"/>
                <w:color w:val="auto"/>
              </w:rPr>
            </w:pPr>
            <w:r>
              <w:rPr>
                <w:rFonts w:ascii="Arial" w:cs="Arial" w:eastAsia="Arial" w:hAnsi="Arial"/>
                <w:sz w:val="18"/>
                <w:szCs w:val="18"/>
                <w:color w:val="auto"/>
              </w:rPr>
              <w:t>Shareholders' Deficit:</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Cumulative preferred stock, $1 par value per share</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Common stock, $0.01 par value per share</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surplus</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2,396.6</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2,393.4</w:t>
            </w:r>
          </w:p>
        </w:tc>
        <w:tc>
          <w:tcPr>
            <w:tcW w:w="140" w:type="dxa"/>
            <w:vAlign w:val="bottom"/>
            <w:shd w:val="clear" w:color="auto" w:fill="CFF0FC"/>
          </w:tcPr>
          <w:p>
            <w:pPr>
              <w:spacing w:after="0"/>
              <w:rPr>
                <w:sz w:val="21"/>
                <w:szCs w:val="21"/>
                <w:color w:val="auto"/>
              </w:rPr>
            </w:pPr>
          </w:p>
        </w:tc>
      </w:tr>
      <w:tr>
        <w:trPr>
          <w:trHeight w:val="237"/>
        </w:trPr>
        <w:tc>
          <w:tcPr>
            <w:tcW w:w="7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0"/>
                <w:szCs w:val="20"/>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(2,522.5 )</w:t>
            </w:r>
          </w:p>
        </w:tc>
        <w:tc>
          <w:tcPr>
            <w:tcW w:w="16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(2,453.2 )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(229.7 )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(229.5 )</w:t>
            </w:r>
          </w:p>
        </w:tc>
      </w:tr>
      <w:tr>
        <w:trPr>
          <w:trHeight w:val="243"/>
        </w:trPr>
        <w:tc>
          <w:tcPr>
            <w:tcW w:w="7680" w:type="dxa"/>
            <w:vAlign w:val="bottom"/>
          </w:tcPr>
          <w:p>
            <w:pPr>
              <w:ind w:left="200"/>
              <w:spacing w:after="0"/>
              <w:rPr>
                <w:sz w:val="20"/>
                <w:szCs w:val="20"/>
                <w:color w:val="auto"/>
              </w:rPr>
            </w:pPr>
            <w:r>
              <w:rPr>
                <w:rFonts w:ascii="Arial" w:cs="Arial" w:eastAsia="Arial" w:hAnsi="Arial"/>
                <w:sz w:val="18"/>
                <w:szCs w:val="18"/>
                <w:color w:val="auto"/>
              </w:rPr>
              <w:t>Treasury stock, at cost</w:t>
            </w:r>
          </w:p>
        </w:tc>
        <w:tc>
          <w:tcPr>
            <w:tcW w:w="240" w:type="dxa"/>
            <w:vAlign w:val="bottom"/>
          </w:tcPr>
          <w:p>
            <w:pPr>
              <w:spacing w:after="0"/>
              <w:rPr>
                <w:sz w:val="21"/>
                <w:szCs w:val="21"/>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(92.7 )</w:t>
            </w:r>
          </w:p>
        </w:tc>
        <w:tc>
          <w:tcPr>
            <w:tcW w:w="16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(92.7 )</w:t>
            </w:r>
          </w:p>
        </w:tc>
      </w:tr>
      <w:tr>
        <w:trPr>
          <w:trHeight w:val="236"/>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shareholders' deficit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(447.8</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8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Shareholders' Deficit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3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2,279.3</w:t>
            </w:r>
          </w:p>
        </w:tc>
        <w:tc>
          <w:tcPr>
            <w:tcW w:w="140" w:type="dxa"/>
            <w:vAlign w:val="bottom"/>
          </w:tcPr>
          <w:p>
            <w:pPr>
              <w:spacing w:after="0"/>
              <w:rPr>
                <w:sz w:val="20"/>
                <w:szCs w:val="20"/>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70"/>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-5725795</wp:posOffset>
            </wp:positionV>
            <wp:extent cx="85725"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-5725795</wp:posOffset>
            </wp:positionV>
            <wp:extent cx="8572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-5091430</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-5091430</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-4465320</wp:posOffset>
            </wp:positionV>
            <wp:extent cx="8572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-4465320</wp:posOffset>
            </wp:positionV>
            <wp:extent cx="8572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-3196590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-3196590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-702310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Yellow Corporation and Subsidiaries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 the Three Months Ended June 30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(Amounts in millions except per share data, shares in thousands)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Operating Revenue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1,126.8</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2,285.4</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2,684.1</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Salaries, wages and employee benefits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1,447.7</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Fuel, operating expenses and supplies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Purchased transportation</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391.5</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operating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Gains on property disposals, net</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(75.9 )</w:t>
            </w:r>
          </w:p>
        </w:tc>
        <w:tc>
          <w:tcPr>
            <w:tcW w:w="4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(3.2 )</w:t>
            </w: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(76.4 )</w:t>
            </w:r>
          </w:p>
        </w:tc>
        <w:tc>
          <w:tcPr>
            <w:tcW w:w="36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0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1,324.5</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2,255.8</w:t>
            </w:r>
          </w:p>
        </w:tc>
        <w:tc>
          <w:tcPr>
            <w:tcW w:w="280" w:type="dxa"/>
            <w:vAlign w:val="bottom"/>
            <w:tcBorders>
              <w:top w:val="single" w:sz="8" w:color="CFF0FC"/>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2,575.7</w:t>
            </w: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56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Nonoperating Expenses:</w:t>
            </w: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Non-union pension and postretirement benefits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(0.5 )</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(0.1 )</w:t>
            </w:r>
          </w:p>
        </w:tc>
        <w:tc>
          <w:tcPr>
            <w:tcW w:w="2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(0.1 )</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Nonoperating expenses, net</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(67.4 )</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(14.7 )</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(69.3 )</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(0.2 )</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(69.5 )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Average Common Shares Outstanding - Basic</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52,010</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51,871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51,217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Common Shares Outstanding - Diluted</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52,010</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52,135</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51,871</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52,183</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Per Share - Basic</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(0.28 )</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(1.34 )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Income (Loss) Per Share -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(0.28 )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(1.34 )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5700" w:type="dxa"/>
            <w:vAlign w:val="bottom"/>
          </w:tcPr>
          <w:p>
            <w:pPr>
              <w:ind w:left="20"/>
              <w:spacing w:after="0"/>
              <w:rPr>
                <w:sz w:val="20"/>
                <w:szCs w:val="20"/>
                <w:color w:val="auto"/>
              </w:rPr>
            </w:pPr>
            <w:r>
              <w:rPr>
                <w:rFonts w:ascii="Arial" w:cs="Arial" w:eastAsia="Arial" w:hAnsi="Arial"/>
                <w:sz w:val="18"/>
                <w:szCs w:val="18"/>
                <w:color w:val="auto"/>
              </w:rPr>
              <w:t>Operating Ratio</w:t>
            </w:r>
            <w:r>
              <w:rPr>
                <w:rFonts w:ascii="Arial" w:cs="Arial" w:eastAsia="Arial" w:hAnsi="Arial"/>
                <w:sz w:val="24"/>
                <w:szCs w:val="24"/>
                <w:color w:val="auto"/>
                <w:vertAlign w:val="superscript"/>
              </w:rPr>
              <w:t>(a)</w:t>
            </w: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96.5 %</w:t>
            </w:r>
          </w:p>
        </w:tc>
        <w:tc>
          <w:tcPr>
            <w:tcW w:w="40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93.0 %</w:t>
            </w:r>
          </w:p>
        </w:tc>
        <w:tc>
          <w:tcPr>
            <w:tcW w:w="2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98.7 %</w:t>
            </w:r>
          </w:p>
        </w:tc>
        <w:tc>
          <w:tcPr>
            <w:tcW w:w="3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96.0 %</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-4305300</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-4305300</wp:posOffset>
            </wp:positionV>
            <wp:extent cx="7747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-4305300</wp:posOffset>
            </wp:positionV>
            <wp:extent cx="85725"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-4305300</wp:posOffset>
            </wp:positionV>
            <wp:extent cx="8572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-3229610</wp:posOffset>
            </wp:positionV>
            <wp:extent cx="7145020" cy="3473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-2102485</wp:posOffset>
            </wp:positionV>
            <wp:extent cx="8572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-2102485</wp:posOffset>
            </wp:positionV>
            <wp:extent cx="7747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-2102485</wp:posOffset>
            </wp:positionV>
            <wp:extent cx="8572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-2102485</wp:posOffset>
            </wp:positionV>
            <wp:extent cx="85725"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-1784985</wp:posOffset>
            </wp:positionV>
            <wp:extent cx="8572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-1784985</wp:posOffset>
            </wp:positionV>
            <wp:extent cx="7747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-1784985</wp:posOffset>
            </wp:positionV>
            <wp:extent cx="85725"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-1784985</wp:posOffset>
            </wp:positionV>
            <wp:extent cx="8572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-1468120</wp:posOffset>
            </wp:positionV>
            <wp:extent cx="85725" cy="188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-1468120</wp:posOffset>
            </wp:positionV>
            <wp:extent cx="7747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-1468120</wp:posOffset>
            </wp:positionV>
            <wp:extent cx="85725"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-1468120</wp:posOffset>
            </wp:positionV>
            <wp:extent cx="85725"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15" w:lineRule="exact"/>
        <w:rPr>
          <w:sz w:val="20"/>
          <w:szCs w:val="20"/>
          <w:color w:val="auto"/>
        </w:rPr>
      </w:pPr>
    </w:p>
    <w:p>
      <w:pPr>
        <w:ind w:left="520" w:right="20" w:hanging="512"/>
        <w:spacing w:after="0" w:line="293" w:lineRule="auto"/>
        <w:tabs>
          <w:tab w:leader="none" w:pos="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8" w:right="31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2023-08-09T08:26:48Z</dcterms:created>
  <dcterms:modified xsi:type="dcterms:W3CDTF">2023-08-09T08:26:48Z</dcterms:modified>
</cp:coreProperties>
</file>