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217"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66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April 24, 2015</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32,752,973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7"/>
          </w:tcPr>
          <w:p>
            <w:pPr>
              <w:spacing w:after="0"/>
              <w:rPr>
                <w:sz w:val="22"/>
                <w:szCs w:val="22"/>
                <w:color w:val="auto"/>
              </w:rPr>
            </w:pPr>
          </w:p>
        </w:tc>
        <w:tc>
          <w:tcPr>
            <w:tcW w:w="3720" w:type="dxa"/>
            <w:vAlign w:val="bottom"/>
            <w:gridSpan w:val="3"/>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2015 and December 31, 2014</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Statements of Consolidated Comprehensive Loss - Three Months ended March 31, 2015 and 2014</w:t>
              </w:r>
            </w:hyperlink>
          </w:p>
        </w:tc>
        <w:tc>
          <w:tcPr>
            <w:tcW w:w="30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Cash Flows - Three Months Ended March 31, 2015 and 2014</w:t>
              </w:r>
            </w:hyperlink>
          </w:p>
        </w:tc>
        <w:tc>
          <w:tcPr>
            <w:tcW w:w="368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Consolidated Shareholders’ Deficit - Three Months Ended March 31, 2015</w:t>
              </w:r>
            </w:hyperlink>
          </w:p>
        </w:tc>
        <w:tc>
          <w:tcPr>
            <w:tcW w:w="376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3"/>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20" w:type="dxa"/>
            <w:vAlign w:val="bottom"/>
            <w:gridSpan w:val="9"/>
          </w:tcPr>
          <w:p>
            <w:pPr>
              <w:jc w:val="right"/>
              <w:ind w:right="1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r>
      <w:tr>
        <w:trPr>
          <w:trHeight w:val="263"/>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1,210.9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Salaries, wages and employee benefits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725.7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1,243.3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Common Shareholders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318"/>
        </w:trPr>
        <w:tc>
          <w:tcPr>
            <w:tcW w:w="8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Comprehensive Loss Attributable to YRC Worldwide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8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Loss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8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deposits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693.0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issuance proceeds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136.4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refund, net</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0"/>
              </w:rPr>
              <w:t>For the Three Months Ended March 31, 2015</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2,290.9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Issuance of equity upon conversion and exchange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2,307.7</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and customer facing organizations. This reporting segment includes our LTL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2015, approximately 78% of our labor force is subject to collective bargaining agreements, which predominantly expire in March 2019.</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non-majority owned affiliate is accounted for on the equity method.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2015 and 2014, we reclassified the amortization of our net pension loss totaling $4.1 million and $2.0 million, respectively, net of tax, from accumulated other comprehensive loss to net loss. This reclassification is a component of net periodic pension cost and is discussed in the “Employee Benefits” footnote.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Financial Accounting Standards Board (“FASB”) issued new authoritative literature,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consistent with the accounting treatment for debt discounts. The recognition and measurement guidance of debt issuance costs are not affected by this update. The guidance, which requires retrospective application, is effective for the Company beginning January 1, 2016, but early adoption is allowed. The Company is currently evaluating this newly-issued guidance and the impact it will have on our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2014 Financing Transactions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2014, we issued 14,333,334 shares of our Common Stock and 583,334 shares of our Convertible Preferred Stock pursuant to certain stock purchase agreements, dated as of December 22, 2013 (the “Stock Purchase Agreements”), for an aggregate $250.0 million in cash. We used the proceeds from these transactions to, among other things, (i) repay our 6% Convertible Senior Notes (“6% Notes”) at their maturity on February 15, 2014 and (ii) repurchase $90.9 million of our Series A Convertible Senior Secured Notes (“Series A Notes”). In February 2014, the Company deposited $89.6 million with the trustee to fund the redemption (including accrued interest), and thereby discharged the indenture governing the Series A Notes. The Company used the cash deposited with the trustee to redeem its Series A Notes on August 5, 2014.</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January 31, 2014, certain holders of our 10% Series B Convertible Senior Secured Notes (“Series B Notes”) exchanged their outstanding balances at a conversion price of $15.00 per share, while another holder converted its Series B Notes in accordance with their existing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31, 2014, certain of our subsidiaries, various pension funds party thereto, and Wilmington Trust Company, as agent for such pension funds, entered into the Second Amended and Restated Contribution Deferral Agreement (“Second A&amp;R CDA”), which, among other things (i) amended and restated the Amended and Restated Contribution Deferral Agreement (“A&amp;R CDA”), (ii) released the agent’s security interest in third priority collateral on the Collateral Release Date, (iii) limited the value of obligations secured by the collateral to the Secured Obligations and (iv) extended the maturity of deferred pension payments and deferred interest from March 31, 2015 to December 31, 2019.</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13, 2014, we replaced our prior credit facilities with a new $450 million asset-based loan (the “ABL Facility”) and a new $700 million term loan facility (“Term Loan”). The ABL Facility supports our outstanding letters of credit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Prior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Extinguish prior ABL facility (includes accrued interest)</w:t>
            </w:r>
          </w:p>
        </w:tc>
        <w:tc>
          <w:tcPr>
            <w:tcW w:w="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w w:val="98"/>
              </w:rPr>
              <w:t>Extinguish prior term loan (includes accrued interest)</w:t>
            </w: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459"/>
        </w:trPr>
        <w:tc>
          <w:tcPr>
            <w:tcW w:w="4180" w:type="dxa"/>
            <w:vAlign w:val="bottom"/>
          </w:tcPr>
          <w:p>
            <w:pPr>
              <w:ind w:left="20"/>
              <w:spacing w:after="0"/>
              <w:rPr>
                <w:sz w:val="20"/>
                <w:szCs w:val="20"/>
                <w:color w:val="auto"/>
              </w:rPr>
            </w:pPr>
            <w:r>
              <w:rPr>
                <w:rFonts w:ascii="Arial" w:cs="Arial" w:eastAsia="Arial" w:hAnsi="Arial"/>
                <w:sz w:val="18"/>
                <w:szCs w:val="18"/>
                <w:color w:val="auto"/>
                <w:w w:val="94"/>
              </w:rPr>
              <w:t>Repurchase Series A Notes (includes accrued interest)</w:t>
            </w:r>
          </w:p>
        </w:tc>
        <w:tc>
          <w:tcPr>
            <w:tcW w:w="24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Redeem Series A Notes (on August 5, 2014 and includes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1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Restricted cash to balance sheet </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121" w:right="239" w:bottom="1440" w:gutter="0" w:footer="0" w:header="0"/>
          <w:type w:val="continuous"/>
        </w:sect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Under the terms of the ABL Facility, this amount was classified as “restricted cash” in the consolidated balance sheet at the closing date of the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121"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121" w:right="239" w:bottom="1440" w:gutter="0" w:footer="0" w:header="0"/>
          <w:type w:val="continuous"/>
        </w:sectPr>
      </w:pPr>
    </w:p>
    <w:p>
      <w:pPr>
        <w:spacing w:after="0" w:line="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three months ended March 31,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recorded, in “interest expense” on the statements of consolidated comprehensive loss, $8.0 million of make-whole interest related to the Series B Notes exchanged during the three months ended March 31, 2014. We paid $43.8 million of fees associated with these transactions of which $26.7 million was recorded as unamortized deferred debt costs in “other assets” in the consolidated balance sheet in the first quarter of 2014 and will be recognized as interest expense over the term of the Term Loan and ABL Facility and $17.1 million offset the equity proceeds of our stock purchase agreements.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and to allow an individual investor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March 31, 2015 and December 31, 2014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2015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rPr>
              <w:t>Average 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Term Loan</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200" w:hanging="192"/>
        <w:spacing w:after="0" w:line="269"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3"/>
          <w:szCs w:val="13"/>
          <w:color w:val="auto"/>
        </w:rPr>
        <w:t>As of March 31, 2015, the borrowing base and availability on our ABL Facility were $450.0 million and $84.2 million, respectively. The availability is calculated in accordance with the terms of the ABL Facility and is derived by reducing the borrowing base by our $365.8 million of outstanding letters of credit as of March 31, 2015. The amount which is actually able to be drawn is limited by certain financial covenants in the ABL Facility to $39.2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-414020</wp:posOffset>
            </wp:positionV>
            <wp:extent cx="273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Average 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200" w:hanging="192"/>
        <w:spacing w:after="0" w:line="269"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As of December 31, 2014, the borrowing base and availability on our ABL Facility were $445.5 million and $71.2 million, respectively. The availability is calculated in accordance with the terms of the ABL Facility and is derived by reducing the borrowing base by our $374.3 million of outstanding letters of credit as of December 31, 2014. The amount which is actually able to be drawn is limited by certain financial covenants in the ABL Facility to $27.1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-414020</wp:posOffset>
            </wp:positionV>
            <wp:extent cx="2735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Exchange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Series B Notes, which matured on March 31, 2015, were convertible into our common stock, at the conversion price per share of approximately $18.5334 and a conversion rate of 53.9567 common shares per $1,000 of the Series B Notes (such conversion price and conversion rate applying also to the Series B Notes make whole premium).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three months ended March 31, 2015, we recorded $0.6 million of additional expense 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fair value of the incremental shares provided to those holders who exchanged their outstanding balances. At maturity on March 31, 2015, we repaid the holders of the remaining outstanding Series B Notes approximately $0.3 million of cash.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the “2014 Financing Transactions” footnote, on January 31, 2014, certain holders of our Series B Notes exchanged their outstanding notes as part of an exchange agreement. Outside of these exchange agreements, during the three months ended March 31, 2014, $1.2 million of aggregate principal amount of Series B Notes were converted into 75,900 shares of our common stock, which includes the make whole premium. Upon conversion, during the three months ended March 31, 2014, we recorded $0.4 million of additional interest expense representing the $0.2 million make whole premium and $0.2 million of accelerated amortization of the discount on converted Series B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44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Series B Notes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119.1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1,088.2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ABL Facility, Series B Notes and the Secured and Unsecured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outstanding debt as of March 31, 2015, please refer to the “Debt and Financing” footnote in our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Term Loan credit agreement has certain financial covenants that, among other things, restricts certain capital expenditures and requires us to maintain a maximum total leverage ratio (defined as Consolidated Total Debt divided by Consolidated Adjusted EBITDA as defined below). On September 25, 2014, the Company entered into Amendment No. 1 to its Credit Agreement (the “Credit Agreement Amendment”), which amended the Term Loan to, among other things, adjust the maximum permitted total leverage ratio through December 31, 2016 and increase the applicable interest rate over the same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Amendment total maximum leverage ratio covenants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defined in our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nonrecurring consulting fees, expenses associated with certain lump sum payments to our International Brotherhood of Teamsters (“IBT”) employees and the results of permitted dispositions and discontinued operations. Consolidated Total Debt, as defined in our Credit Agreement Amendment, is the aggregate principal amount of indebtedness outstanding. Our total leverage ratio for the four consecutive fiscal quarters ended March 31, 2015 was 3.90 to 1.00.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results of operations will be sufficient to allow us to comply with the covenants in the Credit Agreement Amendment, fund our operations, increase working capital as necessary to support our planned revenue growth and fund capital expenditures for at least the next twelve months. In order for us to maintain compliance with the maximum total leverage ratio over the tenor of the Term Loan, we must achieve operating results which reflect continuing improvement over our recent results.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satisfy our liquidity needs and meet future stepped-up covenant requirements is primarily dependent on improving our profitability. Improvements to our profitability include continued successful implementation and realization of productivity and efficiency initiatives as well as increased volume and pricing improvements, some of which are outside of our control.</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our operating results indicate we will not meet our maximum total leverage ratio, we will take action to improve our maximum total leverage ratio which may include paying down our outstanding indebtedness with either cash on hand or from cash proceeds from equity issuances. The issuance of equity is outside of our control and there can be no assurance that we will be able to issue additional equity at terms that are agreeable to us or that we would have sufficient cash on hand to pay down debt in order to meet the maximum total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operating cash flows from operations. The unused line of credit that may actually be drawn is limited by certain financial covenants. As of March 31, 2015, the amount that actually may be drawn on the ABL Facility was $39.2 million. As of March 31, 2015, we had cash and cash equivalents of $136.4 million, and cash and cash equivalents and amounts able to be drawn on our ABL Facility totaling $175.6 million. For the three months ended March 31, 2015, we used net cash of $25.8 million for our operating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and funding capital expenditures.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considerable amount of indebtedness. As of March 31, 2015, we had $1,093.6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2015 for our single-employer pension plans and multi-employer pension funds will be $47.0 million and $66.1 million, respectively. In addition, we have, and will continue to have, substantial operating lease obligations. As of March 31, 2015,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minimum rental expense under operating leases for the remainder of the year is $48.7 million. As of March 31, 2015, our operating lease obligations through 2025 totaled $206.4 million and is expected to increase as we lease additional revenue equipment.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capital expenditures for the three months ended March 31, 2015 and 2014 were $21.3 million and $11.7 million, respectively. These amounts were primarily for purchases of used tractors and trailers and refurbished engines for our revenue fleet. Additionally, for the three months ended March 31, 2015, we entered into new operating leases for revenue equipment for $47.6 million, payable over the average lease term of four years.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months ended March 31:</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15.2</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Amortization of net pension loss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$60.3 million to our company-sponsored pension plans in 2015 of which we have contributed $13.3 million through March 31, 2015.</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Income Taxes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tax rate for the three months ended March 31, 2015 was (6.9)%, compared to 5.5% for the three months ended March 31, 2014 . The significant items impacting the 2015 rate include a net state and foreign tax provision, certain permanent items, and a change in the valuation allowance established for the net deferred tax asset balance projected for December 31, 2015.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2015 and December 31, 2014, substantially all of our net deferred tax assets were subject to a valuation allowance.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Customarily, a loss before income taxes would generate income tax benefit. Our income tax expense reported for the three months ended March 31, 2015, notwithstanding the corresponding loss before income taxes, results from foreign and certain state taxable income; no net U.S. federal benefit is recognizable after the required valuation allowance for an expected federal loss carryforward.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the financing transactions of January 31, 2014 described in the “2014 Financing Transactions” footnote, the Company experienced a change of ownership as described in Section 382 of the Internal Revenue Code. The impact of the 2014 ownership change on the Company’s ability to utilize its Net Operating Loss carryforwards and other tax attributes is not material as most of the carryforwards to which this ownership change applies already have been significantly limited by previous ownership changes occurring in 2011 and 2013.</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three months ended March 31,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59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5900" w:type="dxa"/>
            <w:vAlign w:val="bottom"/>
            <w:gridSpan w:val="2"/>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Issuance of common stock upon conversion or exchange of Series B Notes</w:t>
            </w:r>
          </w:p>
        </w:tc>
        <w:tc>
          <w:tcPr>
            <w:tcW w:w="4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4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20" w:type="dxa"/>
            <w:vAlign w:val="bottom"/>
            <w:vMerge w:val="restart"/>
          </w:tcPr>
          <w:p>
            <w:pPr>
              <w:jc w:val="right"/>
              <w:ind w:right="4054"/>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42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Stock Compensation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9, 2015, the Company granted performance stock unit awards (“2015 Performance Awards”) to employees. The awards provide a target number of shares that vest equally over three years, with the first vesting occurring on February 23, 2016. In addition to meeting service conditions, the number of performance stock units to be received depends on the attainment of defined Company-wide performance goals for 2015 based on adjusted return on invested capital over a one year performance period. The number of performance stock units ultimately earned will range between zero to 200% of the target award.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based unvested stock unit activity at target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(stock units in thousands)</w:t>
            </w:r>
          </w:p>
        </w:tc>
        <w:tc>
          <w:tcPr>
            <w:tcW w:w="27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Target Number of Units</w:t>
            </w:r>
            <w:r>
              <w:rPr>
                <w:rFonts w:ascii="Arial" w:cs="Arial" w:eastAsia="Arial" w:hAnsi="Arial"/>
                <w:sz w:val="8"/>
                <w:szCs w:val="8"/>
                <w:b w:val="1"/>
                <w:bCs w:val="1"/>
                <w:color w:val="auto"/>
              </w:rPr>
              <w:t>(a)</w:t>
            </w: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Weighted Average Fair Value</w:t>
            </w: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performance stock unit awards, at December 31, 2014</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2015</w:t>
            </w:r>
          </w:p>
        </w:tc>
        <w:tc>
          <w:tcPr>
            <w:tcW w:w="5860" w:type="dxa"/>
            <w:vAlign w:val="bottom"/>
          </w:tcPr>
          <w:p>
            <w:pPr>
              <w:ind w:left="20"/>
              <w:spacing w:after="0"/>
              <w:rPr>
                <w:sz w:val="20"/>
                <w:szCs w:val="20"/>
                <w:color w:val="auto"/>
              </w:rPr>
            </w:pPr>
            <w:r>
              <w:rPr>
                <w:rFonts w:ascii="Arial" w:cs="Arial" w:eastAsia="Arial" w:hAnsi="Arial"/>
                <w:sz w:val="18"/>
                <w:szCs w:val="18"/>
                <w:color w:val="auto"/>
              </w:rPr>
              <w:t>Performance Awards granted</w:t>
            </w:r>
          </w:p>
        </w:tc>
        <w:tc>
          <w:tcPr>
            <w:tcW w:w="270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4"/>
              <w:spacing w:after="0"/>
              <w:rPr>
                <w:sz w:val="20"/>
                <w:szCs w:val="20"/>
                <w:color w:val="auto"/>
              </w:rPr>
            </w:pPr>
            <w:r>
              <w:rPr>
                <w:rFonts w:ascii="Arial" w:cs="Arial" w:eastAsia="Arial" w:hAnsi="Arial"/>
                <w:sz w:val="18"/>
                <w:szCs w:val="18"/>
                <w:color w:val="auto"/>
              </w:rPr>
              <w:t>18.23</w:t>
            </w:r>
          </w:p>
        </w:tc>
      </w:tr>
      <w:tr>
        <w:trPr>
          <w:trHeight w:val="27"/>
        </w:trPr>
        <w:tc>
          <w:tcPr>
            <w:tcW w:w="4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2015</w:t>
            </w: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Awards forfeited</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Unvested performance stock unit awards, at March 31, 2015</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18.23</w:t>
            </w:r>
          </w:p>
        </w:tc>
      </w:tr>
    </w:tbl>
    <w:p>
      <w:pPr>
        <w:ind w:left="200" w:hanging="192"/>
        <w:spacing w:after="0" w:line="220"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For the 2015 Performance Awards, participants in the aggregate can earn up to a maximum of 406 thousand performance stock units.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expenses the grant date fair value of the awards which are probable of being earned over their performance period. Compensation cost on performance based awards was $0.3 million for the three months ended March 31, 2015. As of March 31, 2015, at target performance, $3.5 million of unrecognized compensation cost related to performance based awards is expected to be recognized over a weighted-average period of 2.9 years.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Earnings (Loss) Per Share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our net loss position for the three months ended March 31, 2015 and March 31, 2014, there were no dilutive securities for these periods. Our anti-dilutive securities for the three months ended March 31 are as follows:</w:t>
      </w:r>
    </w:p>
    <w:p>
      <w:pPr>
        <w:spacing w:after="0" w:line="324"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options and stock units in thousands)</w:t>
            </w: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w w:val="97"/>
              </w:rPr>
              <w:t>Anti-dilutive shares, options, and stock units</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1,154</w:t>
            </w:r>
          </w:p>
        </w:tc>
        <w:tc>
          <w:tcPr>
            <w:tcW w:w="7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3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Series A Notes</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Anti-dilutive Series B Notes</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Business Segments</w:t>
      </w: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and operating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 fees to our reportable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Regional</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1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2015</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1,966.2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2014</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2015</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Three Months Ended March 31, 2014</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individual defendants are former officers of our Company. No current officers or directors are named in the lawsuit. The parties participated in voluntary mediation between March 11, 2013 and April 15, 2013. The mediation resulted in the execution of a mutually acceptable settlement agreement by the parties. Substantially all of the payments contemplated by the settlement would be covered by our liability insurance. The self-insured retention on this matter has been accrued.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settlement agreement required court approval. On August 19, 2013, November 18, 2013, and February 11, 2015, the district court denied Plaintiffs’ motions for preliminary approval of the settlement. On March 4, 2015, the district court set the case for trial beginning June 6, 2016. On March 20, 2015, Plaintiffs filed a Petition for Writ of Mandamus in the United States Court of Appeals for the Tenth Circuit, seeking an order requiring the district court to vacate the trial setting and to give further consideration to the settlement agreement. On April 28, 2015, the Court of Appeals denied plaintiffs’ petition for mandamus.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86" w:lineRule="exact"/>
        <w:rPr>
          <w:rFonts w:ascii="Arial" w:cs="Arial" w:eastAsia="Arial" w:hAnsi="Arial"/>
          <w:sz w:val="16"/>
          <w:szCs w:val="16"/>
          <w:color w:val="auto"/>
        </w:rPr>
      </w:pPr>
    </w:p>
    <w:p>
      <w:pPr>
        <w:ind w:left="660" w:right="20" w:hanging="328"/>
        <w:spacing w:after="0" w:line="29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months ended March 31, 2015</w:t>
      </w:r>
      <w:r>
        <w:rPr>
          <w:rFonts w:ascii="Arial" w:cs="Arial" w:eastAsia="Arial" w:hAnsi="Arial"/>
          <w:sz w:val="18"/>
          <w:szCs w:val="18"/>
          <w:b w:val="1"/>
          <w:bCs w:val="1"/>
          <w:color w:val="auto"/>
        </w:rPr>
        <w:t xml:space="preserve"> </w:t>
      </w:r>
      <w:r>
        <w:rPr>
          <w:rFonts w:ascii="Arial" w:cs="Arial" w:eastAsia="Arial" w:hAnsi="Arial"/>
          <w:sz w:val="18"/>
          <w:szCs w:val="18"/>
          <w:color w:val="auto"/>
        </w:rPr>
        <w:t>and 2014.</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months ended March 31, 2015 and 2014</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YRC Freight and Regional Transportation reporting segments.</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2015 and 2014.</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 to the three months ended March 31,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number of shipments and weight per</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and yield or price (commonly evaluated on a dollar per hundred 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61"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EBITDA and adjusted EBITDA:</w:t>
      </w:r>
    </w:p>
    <w:p>
      <w:pPr>
        <w:spacing w:after="0" w:line="16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1300" w:hanging="320"/>
        <w:spacing w:after="0" w:line="273" w:lineRule="auto"/>
        <w:tabs>
          <w:tab w:leader="none" w:pos="130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adjusts for letter of credit fees, equity-based compensation expense, net gains or losses on property disposals and certain other items, including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our core operating performance and to measure compliance with financial covenants in our credit facilities.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modified labor agreement;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of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First Quarter</w:t>
            </w:r>
          </w:p>
        </w:tc>
        <w:tc>
          <w:tcPr>
            <w:tcW w:w="172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Percent Change</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1,186.4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1,210.9</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111.4 %</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Nonoperating expenses,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43.0 %</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r>
      <w:tr>
        <w:trPr>
          <w:trHeight w:val="27"/>
        </w:trPr>
        <w:tc>
          <w:tcPr>
            <w:tcW w:w="6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2015 Compared to the First Quarter of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operating revenue decreased 2.0% during the first quarter of 2015 compared to the same period in 2014. The decrease in revenue is primarily attributed to strategic declines in volumes at YRC Freight, as our focus has been on yield improvement over tonnage growth and a reduction in our fuel surcharge revenue. Offsetting this decrease was increased yield over the comparable prior year period, which was largely driven by our commitment to maintain and grow yield and a stronger pricing environment.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expenses for the first quarter of 2015 decreased $60.6 million, or 4.9%, compared to the same period in 2014. The decrease in operating expenses was driven by a $55.5 million, or 19.6%, decrease in operating expenses and supplies and an $18.4 million, or 2.5%, decrease in salaries, wages and employee benefits, partially offset by a $10.1 million, or 16.6%, increase in other operating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$55.5 million, or 19.6%, decrease in operating expenses and supplies in the first quarter of 2015 was primarily the result of a $60.9 million decrease in fuel expense compared to the first quarter of 2014. This decrease was largely driven by lower fuel prices on a per gallon basis, as well as fewer miles driven. This decrease in fuel prices also decreased our revenue as discussed above.</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$18.4 million, or 2.5%, decrease in salaries, wages and employee benefits was largely driven by lower total shipments in 2015 compared to 2014, which required less employee hours to process freight.</w:t>
      </w: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$10.1 million, or 16.6%, increase in other operating expenses was primarily driven by an $8.4 million increase in our bodily injury and property damage claim expense as a result of unfavorable development of our outstanding claims.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Nonoperating expenses decreased $18.0 million in the first quarter of 2015 compared to the first quarter of 2014. In the first quarter of 2014, we incurred additional interest expense that was driven by the acceleration of the amortization of the deferred debt costs on our then-existing Term Loan and then-existing ABL Facility when they were extinguished in the first quarter of 2014. The increase in interest expense was partially offset by the gain we recorded on the extinguishment of debt of $11.2 million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for the first quarter of 2015 and 2014 was (6.9)% and 5.5%, respectively. Significant items impacting the first quarter of 2015 rate include a net state and foreign tax provision, certain permanent items, and a change in the valuation allowance established for the net deferred tax asset balance projected for December 31, 2015.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2015 and December 31, 2014, substantially all of our net deferred tax assets are subject to a valuation allowance.</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YRC Freight represented 62% of consolidated operating revenue for both the first quarter of 2015 and 2014. The table below provides summary financial information for YRC Freight for the first quarter of 2015 and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First Quarter</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6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100.6 %</w:t>
            </w:r>
          </w:p>
        </w:tc>
        <w:tc>
          <w:tcPr>
            <w:tcW w:w="0" w:type="dxa"/>
            <w:vAlign w:val="bottom"/>
          </w:tcPr>
          <w:p>
            <w:pPr>
              <w:spacing w:after="0"/>
              <w:rPr>
                <w:sz w:val="1"/>
                <w:szCs w:val="1"/>
                <w:color w:val="auto"/>
              </w:rPr>
            </w:pPr>
          </w:p>
        </w:tc>
      </w:tr>
      <w:tr>
        <w:trPr>
          <w:trHeight w:val="479"/>
        </w:trPr>
        <w:tc>
          <w:tcPr>
            <w:tcW w:w="754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4.3pp</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2015 Compared to the First Quarter of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$737.6 million in the first quarter of 2015, a decrease of $19.2 million, or 2.5%, compared to the same period in 2014. The table below summarizes the key revenue metrics for the YRC Freight reporting segment for the first quarter of 2015 compared to the first quarter of 2014:</w:t>
      </w:r>
    </w:p>
    <w:p>
      <w:pPr>
        <w:spacing w:after="0" w:line="200" w:lineRule="exact"/>
        <w:rPr>
          <w:sz w:val="20"/>
          <w:szCs w:val="20"/>
          <w:color w:val="auto"/>
        </w:rPr>
      </w:pP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737.4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1,566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2,604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23.55</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2.6 %</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20.66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19.09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3.8 %</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r>
      <w:tr>
        <w:trPr>
          <w:trHeight w:val="642"/>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2015</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r>
    </w:tbl>
    <w:p>
      <w:pPr>
        <w:spacing w:after="0" w:line="8" w:lineRule="exact"/>
        <w:rPr>
          <w:sz w:val="20"/>
          <w:szCs w:val="20"/>
          <w:color w:val="auto"/>
        </w:rPr>
      </w:pPr>
    </w:p>
    <w:p>
      <w:pPr>
        <w:ind w:left="1020" w:hanging="20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yield are primarily attributable to our commitment to maintain and grow yield and a stronger overall pricing environment. The decrease in volumes were primarily driven by a strategic decision to prioritize yield improvements over tonnage growth.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YRC Freight was $0.2 million in the first quarter of 2015 compared to an operating loss of $32.5 million in the same period in 2014. Operating revenue in the first quarter of 2015 was lower by $19.2 million while total operating expenses decreased by $51.9 million, or 6.6%. The decrease in operating expense consisted primarily of a $36.2 million, or 20.6%, decrease in operating expenses and supplies and a $14.2 million, or 3.2%, decrease in salaries, wages and employees’ benefits.</w:t>
      </w:r>
    </w:p>
    <w:p>
      <w:pPr>
        <w:spacing w:after="0" w:line="187" w:lineRule="exact"/>
        <w:rPr>
          <w:sz w:val="20"/>
          <w:szCs w:val="20"/>
          <w:color w:val="auto"/>
        </w:rPr>
      </w:pPr>
    </w:p>
    <w:p>
      <w:pPr>
        <w:jc w:val="both"/>
        <w:ind w:left="660" w:hanging="328"/>
        <w:spacing w:after="0" w:line="26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$36.2 million, or 20.6%, decrease in operating expenses and supplies in the first quarter of 2015 was primarily the result of a $36.8 million decrease in fuel expense compared to the first quarter of 2014. This decrease was largely driven by lower fuel prices on a per gallon basis and fewer miles driven. This decrease in fuel prices also decreased the revenue we recognized as a result of our fuel surcharge program and, therefore, this expense decrease was offset. Additionally, we received a $4.1 million legal settlement in the first quarter of 2015 that contributed to this decrease, which was partially offset by an increase in professional services largely driven by a $2.9 million nonrecurring consulting fee.</w:t>
      </w:r>
    </w:p>
    <w:p>
      <w:pPr>
        <w:spacing w:after="0" w:line="3"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$14.2 million, or 3.2%, decrease in salaries, wages and employee benefits was largely driven by lower total shipments in 2015 compared to 2014, which required less employee hours to process freight.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Regional Transportation represented 38% of consolidated revenue in the both the first quarter of 2015 and 2014. The table below provides summary financial information for Regional Transportation for the first quarter of 2015 and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First Quarter</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460" w:type="dxa"/>
            <w:vAlign w:val="bottom"/>
          </w:tcPr>
          <w:p>
            <w:pPr>
              <w:ind w:left="500"/>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734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(0.7pp</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2015 Compared to the First Quarter of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$448.8 million for the first quarter of 2015, a decrease of $5.3 million, or 1.2%, from the first quarter of 2014. The table below summarizes the key revenue metrics for the Regional Transportation reporting segment for the first quarter of 2015 compared to the first quarter of 2014:</w:t>
      </w:r>
    </w:p>
    <w:p>
      <w:pPr>
        <w:spacing w:after="0" w:line="200" w:lineRule="exact"/>
        <w:rPr>
          <w:sz w:val="20"/>
          <w:szCs w:val="20"/>
          <w:color w:val="auto"/>
        </w:rPr>
      </w:pP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449.1</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454.4</w:t>
            </w:r>
          </w:p>
        </w:tc>
        <w:tc>
          <w:tcPr>
            <w:tcW w:w="16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1,976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2,015</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30.08</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2,617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2,706</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40.38</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11.36</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11.28</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10.03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1,510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1,490</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642"/>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89"/>
              </w:rPr>
              <w:t>2014</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96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454.1</w:t>
            </w:r>
          </w:p>
        </w:tc>
      </w:tr>
      <w:tr>
        <w:trPr>
          <w:trHeight w:val="27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0"/>
        </w:trPr>
        <w:tc>
          <w:tcPr>
            <w:tcW w:w="496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increases in yield are primarily attributable to our disciplined focus to grow yield during the quarter and a stronger overall pricing environment.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Regional Transportation was $4.6 million for the first quarter of 2015, a decrease of $3.3 million from the same period in 2014. Operating revenue in the first quarter of 2015 was lower by $5.3 million, while total operating expenses decreased by $2.0 million, or 0.4%. The decrease in total operating expenses was primarily driven by a $19.4 million, or 16.9%, decrease in operating expenses and supplies, partially offset by a $5.4 million, or 21.4%, increase in other operating expenses, a</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$5.3 million, or 21.7%, increase in purchased transportation, and a $4.2 million, or 1.6%, increase in salaries, wages and employee benefits.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$19.4 million, or 16.9%, decrease in operating expenses and supplies in the first quarter of 2015 was primarily driven by a $24.1 million decrease in fuel expense compared to the first quarter of 2014. This decrease was largely driven by lower fuel prices on a per gallon basis. This decrease in fuel prices also decreased the revenue we recognized as a result of our fuel surcharge program and, therefore, this expense decrease was offset. The lower fuel costs were partially offset by a $3.7 million increase in vehicle maintenance primarily used to support our aging fleet.</w:t>
      </w:r>
    </w:p>
    <w:p>
      <w:pPr>
        <w:spacing w:after="0" w:line="1"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$5.4 million, or 21.4%, increase in other operating expense in the first quarter of 2015 was primarily the result of a $5.7 million increase in our prior year bodily injury and property damage claim expense, as a result of unfavorable claim development on prior year claims.</w:t>
      </w:r>
    </w:p>
    <w:p>
      <w:pPr>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$5.3 million, or 21.7%, increase in purchased transportation was primarily driven by a $5.4 million increase in vehicle rent expense as our percentage of leased units has increased from prior year due to our strategy of using operating leases to acquire new revenue equipment.</w:t>
      </w:r>
    </w:p>
    <w:p>
      <w:pPr>
        <w:ind w:left="660" w:right="2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$4.2 million, or 1.6%, increase in in the first quarter of 2015 was primarily the result of a $2.0 million increase in workers’ compensation expense, which was caused, in large part, by unfavorable claim development on prior year claims.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EBITDA and EBITDA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net loss to EBITDA and EBITDA to Adjusted EBITDA (defined in our Term Loan credit agreement as “Consolidated EBITDA”) for the first quarter of 2015 and 2014, and the trailing twelve months ended March 31, 2015,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Four Consecutive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Quarters Ending</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Reconciliation of net loss to adjusted EBITDA:</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Adjustments for debt covenants: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80" w:firstLine="8"/>
        <w:spacing w:after="0" w:line="280"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 under our Term Loan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first quarter of 2015 and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 by segment: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25.9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operating income (loss), by segment, to EBITDA and EBITDA to Adjusted EBITDA for the first quarter of 2015 and 2014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for debt covenants: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nonoperating expenses, net</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17145</wp:posOffset>
            </wp:positionV>
            <wp:extent cx="15176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26035"/>
                    </a:xfrm>
                    <a:prstGeom prst="rect">
                      <a:avLst/>
                    </a:prstGeom>
                    <a:noFill/>
                  </pic:spPr>
                </pic:pic>
              </a:graphicData>
            </a:graphic>
          </wp:anchor>
        </w:drawing>
      </w:r>
    </w:p>
    <w:p>
      <w:pPr>
        <w:spacing w:after="0" w:line="37" w:lineRule="exact"/>
        <w:rPr>
          <w:sz w:val="20"/>
          <w:szCs w:val="20"/>
          <w:color w:val="auto"/>
        </w:rPr>
      </w:pPr>
    </w:p>
    <w:p>
      <w:pPr>
        <w:ind w:left="200" w:hanging="151"/>
        <w:spacing w:after="0"/>
        <w:tabs>
          <w:tab w:leader="none" w:pos="2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other nonoperating, net, shown above does not include the impact of non-cash foreign currency gains or losses.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4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4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Adjustments for debt covenants:</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4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4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4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120" w:type="dxa"/>
            <w:vAlign w:val="bottom"/>
            <w:vMerge w:val="restart"/>
          </w:tcPr>
          <w:p>
            <w:pPr>
              <w:jc w:val="right"/>
              <w:ind w:right="313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24"/>
                <w:szCs w:val="24"/>
                <w:color w:val="auto"/>
              </w:rPr>
            </w:pPr>
          </w:p>
        </w:tc>
      </w:tr>
      <w:tr>
        <w:trPr>
          <w:trHeight w:val="264"/>
        </w:trPr>
        <w:tc>
          <w:tcPr>
            <w:tcW w:w="9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Corporate and other segment (in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90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Adjustments for debt covenants: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43"/>
        </w:trPr>
        <w:tc>
          <w:tcPr>
            <w:tcW w:w="9020" w:type="dxa"/>
            <w:vAlign w:val="bottom"/>
            <w:gridSpan w:val="2"/>
          </w:tcPr>
          <w:p>
            <w:pPr>
              <w:ind w:left="380"/>
              <w:spacing w:after="0"/>
              <w:rPr>
                <w:sz w:val="20"/>
                <w:szCs w:val="20"/>
                <w:color w:val="auto"/>
              </w:rPr>
            </w:pPr>
            <w:r>
              <w:rPr>
                <w:rFonts w:ascii="Arial" w:cs="Arial" w:eastAsia="Arial" w:hAnsi="Arial"/>
                <w:sz w:val="18"/>
                <w:szCs w:val="18"/>
                <w:color w:val="auto"/>
              </w:rPr>
              <w:t>Restructuring professional fees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gridSpan w:val="2"/>
          </w:tcPr>
          <w:p>
            <w:pPr>
              <w:ind w:left="380"/>
              <w:spacing w:after="0"/>
              <w:rPr>
                <w:sz w:val="20"/>
                <w:szCs w:val="20"/>
                <w:color w:val="auto"/>
              </w:rPr>
            </w:pPr>
            <w:r>
              <w:rPr>
                <w:rFonts w:ascii="Arial" w:cs="Arial" w:eastAsia="Arial" w:hAnsi="Arial"/>
                <w:sz w:val="18"/>
                <w:szCs w:val="18"/>
                <w:color w:val="auto"/>
              </w:rPr>
              <w:t>Equity based compensation expense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nonoperating income, net</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17145</wp:posOffset>
            </wp:positionV>
            <wp:extent cx="15176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26035"/>
                    </a:xfrm>
                    <a:prstGeom prst="rect">
                      <a:avLst/>
                    </a:prstGeom>
                    <a:noFill/>
                  </pic:spPr>
                </pic:pic>
              </a:graphicData>
            </a:graphic>
          </wp:anchor>
        </w:drawing>
      </w:r>
    </w:p>
    <w:p>
      <w:pPr>
        <w:spacing w:after="0" w:line="38" w:lineRule="exact"/>
        <w:rPr>
          <w:sz w:val="20"/>
          <w:szCs w:val="20"/>
          <w:color w:val="auto"/>
        </w:rPr>
      </w:pPr>
    </w:p>
    <w:p>
      <w:pPr>
        <w:ind w:firstLine="8"/>
        <w:spacing w:after="0" w:line="280"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other nonoperating, net, shown above does not include the impact of earnings of our equity method investment as well as non-cash foreign currency gains or losses.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operating cash flows from operations. The unused line of credit that may actually be drawn is limited by certain financial covenants. As of March 31, 2015, the amount that actually may be drawn on the ABL Facility was $39.2 million. As of March 31, 2015, we had cash and cash equivalents of $136.4 million, and cash and cash equivalents and amounts able to be drawn on our ABL Facility totaling $175.6 million. For the three months ended March 31, 2015 we used net cash of $25.8 million for our operating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and funding capital expenditures.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considerable amount of indebtedness. As of March 31, 2015, we had $1,093.6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2015 for our single-employer pension plans and multi-employer pension funds will be $47.0 million and $66.1 million, respectively. In addition, we have, and will continue to have, substantial operating lease obligations. As of March 31, 2015, our minimum rental expense under operating leases for the remainder of the year is $48.7 million. As of March 31, 2015, our operating lease obligations through 2025 totaled $206.4 million and is expected to increase as we lease additional revenue equipment. As of March 31, 2015, our Standard &amp; Poor’s Corporate Family Rating was “CCC+” and Moody’s Investor Service Corporate Family Rating was “B3”.</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first quarter of 2015 and 2014 were $21.3 million and $11.7 million, respectively. These amounts were principally used to fund replacement trailers and refurbished engines for our revenue fleet. Additionally, for the first quarter of 2015, we entered into new operating leases for revenue equipment for $47.6 million, payable over the average lease term of four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Term Loan credit agreement has certain financial covenants that, among other things, restricts certain capital expenditures and requires us to maintain a maximum total leverage ratio (defined as Consolidated Total Debt divided by Consolidated Adjusted EBITDA as defined below). On September 25, 2014, the Company entered into the Credit Agreement Amendment, which amended the Term Loan to, among other things, adjust the maximum permitted total leverage ratio through December 31, 2016 and increase the applicable interest rate over the same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Amendment total maximum leverage ratio covenants is as follows:</w:t>
      </w:r>
    </w:p>
    <w:p>
      <w:pPr>
        <w:spacing w:after="0" w:line="36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defined in the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nonrecurring consulting fees, expenses associated with certain lump sum payments to our IBT employees and the results of permitted dispositions and discontinued operations. Consolidated Total Debt, as defined in our Credit Agreement Amendment, is the aggregate principal amount of indebtedness outstanding. Our total leverage ratio for the four consecutive fiscal quarters ending March 31, 2015 was 3.90 to 1.00.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results of operations will be sufficient to allow us to comply with the covenants in the Credit Agreement Amendment, fund our operations, increase working capital as necessary to support our planned revenue growth and fund capital expenditures for at least the next twelve months. In order for us to maintain compliance with the maximum total leverage ratio over the tenor of the Term Loan, we must achieve operating results which reflect continuing improvement over our recent results.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satisfy our liquidity needs and meet future stepped-up covenant requirements is primarily dependent on improving our profitability. Improvements to our profitability include continued successful implementation and realization of productivity and efficiency initiatives as well as increased volume and pricing improvements, some of which are outside of our control.</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our operating results indicate we will not meet our maximum total leverage ratio, we may take action to improve our maximum total leverage ratio which will include paying down our outstanding indebtedness with either cash on hand or from cash proceeds from equity issuances. The issuance of equity is outside of our control and there can be no assurance that we will be able to issue additional equity at terms that are agreeable to us or that we would have sufficient cash on hand to pay down debt in order to meet the maximum total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used in operating activities was $25.8 million in the first quarter of 2015 compared to $56.2 million in the first quarter of 2014. This decrease in cash utilization is primarily attributable to a $48.6 million year-over-year decrease in net loss driven by decreased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cash flows increased by $84.2 million during the first quarter of 2015 compared to the same period in 2014, largely driven by a net receipt of $11.0 million in restricted escrow refunds in 2015 compared to a net deposit of $80.9 million in 2014. The 2014 restricted escrow deposits consist mostly of $82.0 million for the ABL Facility and $89.6 million for the Series A Notes redemption, offset by the reduction of the $90.0 million receipt for the Prior ABL Facility. In addition, there was a $9.6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in the acquisition of property and equipment primarily due to increased purchases of used tractors and trailers and refurbished engines for our revenue fleet.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financing activities for the first quarter of 2015 was $4.5 million compared to net cash provided by financing activities of $109.0 million in the first quarter of 2014. The cash used in the first quarter of 2015 consists solely of repayments of our long-term debt. The cash provided during the first quarter of 2014 was driven by the issuance of $693.0 million in long-term debt for the Term Loan and $250.0 million equity issuance proceeds. These were offset by $789.5 million of repayments on our long-term debt. The repayments primarily consisted of $298.1 million for the prior term loan, $324.9 million for the prior ABL facility, $93.9 million for the redemption of Series A Notes and $69.4 million for the 6% Notes. We also had $27.4 million in debt issuance costs and $17.1 million in equity issuance costs related to our new debt and equity issued in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March 31,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2"/>
                <w:szCs w:val="22"/>
                <w:color w:val="auto"/>
              </w:rPr>
            </w:pPr>
          </w:p>
        </w:tc>
      </w:tr>
      <w:tr>
        <w:trPr>
          <w:trHeight w:val="270"/>
        </w:trPr>
        <w:tc>
          <w:tcPr>
            <w:tcW w:w="36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ABL borrowings, including interest and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unused line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210.7</w:t>
            </w:r>
          </w:p>
        </w:tc>
        <w:tc>
          <w:tcPr>
            <w:tcW w:w="380" w:type="dxa"/>
            <w:vAlign w:val="bottom"/>
          </w:tcPr>
          <w:p>
            <w:pPr>
              <w:ind w:left="60"/>
              <w:spacing w:after="0"/>
              <w:rPr>
                <w:sz w:val="20"/>
                <w:szCs w:val="20"/>
                <w:color w:val="auto"/>
              </w:rPr>
            </w:pPr>
            <w:r>
              <w:rPr>
                <w:rFonts w:ascii="Arial" w:cs="Arial" w:eastAsia="Arial" w:hAnsi="Arial"/>
                <w:sz w:val="13"/>
                <w:szCs w:val="13"/>
                <w:color w:val="auto"/>
              </w:rPr>
              <w:t>(b)</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Multi-employer pension deferral obligations,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Workers’ compensation, property damage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and liability claims obligations</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414.1</w:t>
            </w:r>
          </w:p>
        </w:tc>
        <w:tc>
          <w:tcPr>
            <w:tcW w:w="380" w:type="dxa"/>
            <w:vAlign w:val="bottom"/>
          </w:tcPr>
          <w:p>
            <w:pPr>
              <w:ind w:left="60"/>
              <w:spacing w:after="0"/>
              <w:rPr>
                <w:sz w:val="20"/>
                <w:szCs w:val="20"/>
                <w:color w:val="auto"/>
              </w:rPr>
            </w:pPr>
            <w:r>
              <w:rPr>
                <w:rFonts w:ascii="Arial" w:cs="Arial" w:eastAsia="Arial" w:hAnsi="Arial"/>
                <w:sz w:val="13"/>
                <w:szCs w:val="13"/>
                <w:color w:val="auto"/>
              </w:rPr>
              <w:t>(c)</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w:t>
            </w: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70"/>
        </w:trPr>
        <w:tc>
          <w:tcPr>
            <w:tcW w:w="36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Future service obligations </w:t>
            </w:r>
            <w:r>
              <w:rPr>
                <w:rFonts w:ascii="Arial" w:cs="Arial" w:eastAsia="Arial" w:hAnsi="Arial"/>
                <w:sz w:val="25"/>
                <w:szCs w:val="25"/>
                <w:color w:val="auto"/>
                <w:vertAlign w:val="superscript"/>
              </w:rPr>
              <w:t>(d)</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3"/>
                <w:szCs w:val="23"/>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1,957.3</w:t>
            </w:r>
          </w:p>
        </w:tc>
        <w:tc>
          <w:tcPr>
            <w:tcW w:w="380" w:type="dxa"/>
            <w:vAlign w:val="bottom"/>
            <w:tcBorders>
              <w:top w:val="single" w:sz="8" w:color="auto"/>
            </w:tcBorders>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right="20" w:hanging="332"/>
        <w:spacing w:after="0" w:line="25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liabilities for uncertain income tax positions as of March 31, 2015 were $10.4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$210.7 million of lease financing obligation payments represent interest payments of $149.8 million and principal payments of $60.9 million. The remaining principle obligation is offset by the estimated book value of leased property at the expiration date of each lease agreement.</w:t>
      </w:r>
    </w:p>
    <w:p>
      <w:pPr>
        <w:ind w:left="340" w:right="2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workers’ compensation, property damage and liability claims obligations represent our undiscounted estimate of future payments for these obligations, not all of which are contractually required.</w:t>
      </w: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Future service obligations consist primarily of hardware and software maintenance contracts.</w:t>
      </w:r>
    </w:p>
    <w:p>
      <w:pPr>
        <w:spacing w:after="0" w:line="2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three months ended March 31, 2015, we entered into new operating leases for revenue equipment of $47.6 million. This total consists of approximately 225 tractors and 600 trailers with a total capital value of $35.1 million, with the remaining amount related to recurring leases for sleeper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38"/>
        </w:trPr>
        <w:tc>
          <w:tcPr>
            <w:tcW w:w="102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4"/>
                <w:szCs w:val="14"/>
                <w:b w:val="1"/>
                <w:bCs w:val="1"/>
                <w:color w:val="auto"/>
                <w:w w:val="96"/>
              </w:rPr>
              <w:t>Amount of Commitment Expiration Per Period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08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84.2</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84.2</w:t>
            </w: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365.8</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Surety bonds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115.8</w:t>
            </w:r>
          </w:p>
        </w:tc>
      </w:tr>
      <w:tr>
        <w:trPr>
          <w:trHeight w:val="27"/>
        </w:trPr>
        <w:tc>
          <w:tcPr>
            <w:tcW w:w="10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450.1</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March 31, 2015, we held $78.1 million in restricted escrow, which represents cash collateral on our ABL Facility.</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unused line of credit that may actually be drawn is limited by certain financial covenants in the ABL Facility. As of March 31, 2015, the amount that actually may be drawn on the ABL Facility was $39.2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2015 and have concluded that our disclosure controls and procedures were effective as of March 31, 2015.</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material changes during the quarter to the Risk Factors disclosed in Part I, Item 1A - “Risk Factors” in our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Results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providing the following disclosure in lieu of providing this information in a current report on Form 8-K pursuant to Item 5.07, “Submission of Matters to a Vote of Security Holders.”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holders of our outstanding common stock, Series A Voting Preferred Stock, and Series B Notes voted together as a single class on all proposals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and Series A Voting Preferred Stock was entitled to one vote.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our Amended and Restated Certificate of Incorporation, as amended (“Certificate”), and the indenture governing the Series B Notes, each holder of Series B Notes was entitled, on an as-converted-to-common stock basis, to 53.9567 shares of Common Stock per $1,000 principal amount of Series B Notes held on the record date, which included shares issuable as a Make Whole Premium (as defined in the Series B Notes indenture). However, as described in our Certificate and the Series B Notes indenture, in order to comply with NASDAQ Listing Rule 5640, each holder of Series B Notes was limited to 0.0594 votes for each share of Common Stock on an as-converted-to-common stock basis. On the record date, the holders of Series B Notes collectively held 55,508 votes.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holders of our common stock, Series A Voting Preferred Stock, and Series B Notes voted on the following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nominee under Proposal 1 was elected to the Board of Directors.</w:t>
      </w: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 Nominees</w:t>
            </w:r>
          </w:p>
        </w:tc>
        <w:tc>
          <w:tcPr>
            <w:tcW w:w="22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92"/>
              </w:rPr>
              <w:t>Number of Votes For</w:t>
            </w:r>
          </w:p>
        </w:tc>
        <w:tc>
          <w:tcPr>
            <w:tcW w:w="24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 of Votes Withheld</w:t>
            </w:r>
          </w:p>
        </w:tc>
        <w:tc>
          <w:tcPr>
            <w:tcW w:w="2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Broker Non-Votes</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Raymond J. Bromark</w:t>
            </w: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88"/>
              </w:rPr>
              <w:t>23,579,551</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427,669</w:t>
            </w:r>
          </w:p>
        </w:tc>
        <w:tc>
          <w:tcPr>
            <w:tcW w:w="2100" w:type="dxa"/>
            <w:vAlign w:val="bottom"/>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7"/>
        </w:trPr>
        <w:tc>
          <w:tcPr>
            <w:tcW w:w="2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A. Doheny</w:t>
            </w:r>
          </w:p>
        </w:tc>
        <w:tc>
          <w:tcPr>
            <w:tcW w:w="222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8"/>
                <w:szCs w:val="18"/>
                <w:color w:val="auto"/>
                <w:w w:val="88"/>
              </w:rPr>
              <w:t>22,865,681</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1,141,539</w:t>
            </w:r>
          </w:p>
        </w:tc>
        <w:tc>
          <w:tcPr>
            <w:tcW w:w="21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Robert L. Friedman</w:t>
            </w: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88"/>
              </w:rPr>
              <w:t>23,536,482</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470,738</w:t>
            </w:r>
          </w:p>
        </w:tc>
        <w:tc>
          <w:tcPr>
            <w:tcW w:w="2100" w:type="dxa"/>
            <w:vAlign w:val="bottom"/>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7"/>
        </w:trPr>
        <w:tc>
          <w:tcPr>
            <w:tcW w:w="2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James E. Hoffman</w:t>
            </w:r>
          </w:p>
        </w:tc>
        <w:tc>
          <w:tcPr>
            <w:tcW w:w="222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8"/>
                <w:szCs w:val="18"/>
                <w:color w:val="auto"/>
                <w:w w:val="88"/>
              </w:rPr>
              <w:t>22,866,237</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1,140,983</w:t>
            </w:r>
          </w:p>
        </w:tc>
        <w:tc>
          <w:tcPr>
            <w:tcW w:w="21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Michael J. Kneeland</w:t>
            </w: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88"/>
              </w:rPr>
              <w:t>22,866,613</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1,140,607</w:t>
            </w:r>
          </w:p>
        </w:tc>
        <w:tc>
          <w:tcPr>
            <w:tcW w:w="2100" w:type="dxa"/>
            <w:vAlign w:val="bottom"/>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7"/>
        </w:trPr>
        <w:tc>
          <w:tcPr>
            <w:tcW w:w="2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James L. Welch</w:t>
            </w:r>
          </w:p>
        </w:tc>
        <w:tc>
          <w:tcPr>
            <w:tcW w:w="222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8"/>
                <w:szCs w:val="18"/>
                <w:color w:val="auto"/>
                <w:w w:val="88"/>
              </w:rPr>
              <w:t>23,515,526</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491,694</w:t>
            </w:r>
          </w:p>
        </w:tc>
        <w:tc>
          <w:tcPr>
            <w:tcW w:w="21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89"/>
              </w:rPr>
              <w:t>3,827,254</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James F. Winestock</w:t>
            </w: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88"/>
              </w:rPr>
              <w:t>23,606,458</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400,762</w:t>
            </w:r>
          </w:p>
        </w:tc>
        <w:tc>
          <w:tcPr>
            <w:tcW w:w="2100" w:type="dxa"/>
            <w:vAlign w:val="bottom"/>
          </w:tcPr>
          <w:p>
            <w:pPr>
              <w:jc w:val="center"/>
              <w:ind w:right="52"/>
              <w:spacing w:after="0"/>
              <w:rPr>
                <w:sz w:val="20"/>
                <w:szCs w:val="20"/>
                <w:color w:val="auto"/>
              </w:rPr>
            </w:pPr>
            <w:r>
              <w:rPr>
                <w:rFonts w:ascii="Arial" w:cs="Arial" w:eastAsia="Arial" w:hAnsi="Arial"/>
                <w:sz w:val="18"/>
                <w:szCs w:val="18"/>
                <w:color w:val="auto"/>
                <w:w w:val="89"/>
              </w:rPr>
              <w:t>3,827,254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advisory vote on named executive officer compensation was approved.</w:t>
      </w:r>
    </w:p>
    <w:p>
      <w:pPr>
        <w:spacing w:after="0" w:line="379"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Number of Votes For</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Votes Against</w:t>
            </w:r>
          </w:p>
        </w:tc>
        <w:tc>
          <w:tcPr>
            <w:tcW w:w="232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2"/>
              </w:rPr>
              <w:t>Number of Votes Abstaining</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43"/>
        </w:trPr>
        <w:tc>
          <w:tcPr>
            <w:tcW w:w="1840" w:type="dxa"/>
            <w:vAlign w:val="bottom"/>
          </w:tcPr>
          <w:p>
            <w:pPr>
              <w:jc w:val="right"/>
              <w:ind w:right="479"/>
              <w:spacing w:after="0"/>
              <w:rPr>
                <w:sz w:val="20"/>
                <w:szCs w:val="20"/>
                <w:color w:val="auto"/>
              </w:rPr>
            </w:pPr>
            <w:r>
              <w:rPr>
                <w:rFonts w:ascii="Arial" w:cs="Arial" w:eastAsia="Arial" w:hAnsi="Arial"/>
                <w:sz w:val="18"/>
                <w:szCs w:val="18"/>
                <w:color w:val="auto"/>
              </w:rPr>
              <w:t>17,540,118</w:t>
            </w:r>
          </w:p>
        </w:tc>
        <w:tc>
          <w:tcPr>
            <w:tcW w:w="2240" w:type="dxa"/>
            <w:vAlign w:val="bottom"/>
          </w:tcPr>
          <w:p>
            <w:pPr>
              <w:jc w:val="right"/>
              <w:ind w:right="699"/>
              <w:spacing w:after="0"/>
              <w:rPr>
                <w:sz w:val="20"/>
                <w:szCs w:val="20"/>
                <w:color w:val="auto"/>
              </w:rPr>
            </w:pPr>
            <w:r>
              <w:rPr>
                <w:rFonts w:ascii="Arial" w:cs="Arial" w:eastAsia="Arial" w:hAnsi="Arial"/>
                <w:sz w:val="18"/>
                <w:szCs w:val="18"/>
                <w:color w:val="auto"/>
              </w:rPr>
              <w:t>6,196,505</w:t>
            </w:r>
          </w:p>
        </w:tc>
        <w:tc>
          <w:tcPr>
            <w:tcW w:w="2320" w:type="dxa"/>
            <w:vAlign w:val="bottom"/>
          </w:tcPr>
          <w:p>
            <w:pPr>
              <w:jc w:val="right"/>
              <w:ind w:right="719"/>
              <w:spacing w:after="0"/>
              <w:rPr>
                <w:sz w:val="20"/>
                <w:szCs w:val="20"/>
                <w:color w:val="auto"/>
              </w:rPr>
            </w:pPr>
            <w:r>
              <w:rPr>
                <w:rFonts w:ascii="Arial" w:cs="Arial" w:eastAsia="Arial" w:hAnsi="Arial"/>
                <w:sz w:val="18"/>
                <w:szCs w:val="18"/>
                <w:color w:val="auto"/>
              </w:rPr>
              <w:t>270,597</w:t>
            </w:r>
          </w:p>
        </w:tc>
        <w:tc>
          <w:tcPr>
            <w:tcW w:w="1560" w:type="dxa"/>
            <w:vAlign w:val="bottom"/>
          </w:tcPr>
          <w:p>
            <w:pPr>
              <w:jc w:val="right"/>
              <w:ind w:right="319"/>
              <w:spacing w:after="0"/>
              <w:rPr>
                <w:sz w:val="20"/>
                <w:szCs w:val="20"/>
                <w:color w:val="auto"/>
              </w:rPr>
            </w:pPr>
            <w:r>
              <w:rPr>
                <w:rFonts w:ascii="Arial" w:cs="Arial" w:eastAsia="Arial" w:hAnsi="Arial"/>
                <w:sz w:val="18"/>
                <w:szCs w:val="18"/>
                <w:color w:val="auto"/>
              </w:rPr>
              <w:t>3,827,254</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our independent registered public accounting firm for 2015 was ratified.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 of Votes For</w:t>
            </w:r>
          </w:p>
        </w:tc>
        <w:tc>
          <w:tcPr>
            <w:tcW w:w="224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92"/>
              </w:rPr>
              <w:t>Number of Votes Against</w:t>
            </w:r>
          </w:p>
        </w:tc>
        <w:tc>
          <w:tcPr>
            <w:tcW w:w="260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b w:val="1"/>
                <w:bCs w:val="1"/>
                <w:color w:val="auto"/>
                <w:w w:val="92"/>
              </w:rPr>
              <w:t>Number of Votes Abstaining</w:t>
            </w:r>
          </w:p>
        </w:tc>
        <w:tc>
          <w:tcPr>
            <w:tcW w:w="2200" w:type="dxa"/>
            <w:vAlign w:val="bottom"/>
            <w:gridSpan w:val="2"/>
          </w:tcPr>
          <w:p>
            <w:pPr>
              <w:spacing w:after="0"/>
              <w:rPr>
                <w:sz w:val="16"/>
                <w:szCs w:val="16"/>
                <w:color w:val="auto"/>
              </w:rPr>
            </w:pPr>
          </w:p>
        </w:tc>
      </w:tr>
      <w:tr>
        <w:trPr>
          <w:trHeight w:val="243"/>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2"/>
          </w:tcPr>
          <w:p>
            <w:pPr>
              <w:ind w:left="1140"/>
              <w:spacing w:after="0"/>
              <w:rPr>
                <w:sz w:val="20"/>
                <w:szCs w:val="20"/>
                <w:color w:val="auto"/>
              </w:rPr>
            </w:pPr>
            <w:r>
              <w:rPr>
                <w:rFonts w:ascii="Arial" w:cs="Arial" w:eastAsia="Arial" w:hAnsi="Arial"/>
                <w:sz w:val="18"/>
                <w:szCs w:val="18"/>
                <w:color w:val="auto"/>
              </w:rPr>
              <w:t>27,341,060</w:t>
            </w:r>
          </w:p>
        </w:tc>
        <w:tc>
          <w:tcPr>
            <w:tcW w:w="1800" w:type="dxa"/>
            <w:vAlign w:val="bottom"/>
          </w:tcPr>
          <w:p>
            <w:pPr>
              <w:jc w:val="right"/>
              <w:ind w:right="119"/>
              <w:spacing w:after="0"/>
              <w:rPr>
                <w:sz w:val="20"/>
                <w:szCs w:val="20"/>
                <w:color w:val="auto"/>
              </w:rPr>
            </w:pPr>
            <w:r>
              <w:rPr>
                <w:rFonts w:ascii="Arial" w:cs="Arial" w:eastAsia="Arial" w:hAnsi="Arial"/>
                <w:sz w:val="18"/>
                <w:szCs w:val="18"/>
                <w:color w:val="auto"/>
              </w:rPr>
              <w:t>282,786</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210,628</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675"/>
        </w:trPr>
        <w:tc>
          <w:tcPr>
            <w:tcW w:w="1860" w:type="dxa"/>
            <w:vAlign w:val="bottom"/>
            <w:gridSpan w:val="5"/>
          </w:tcPr>
          <w:p>
            <w:pPr>
              <w:spacing w:after="0"/>
              <w:rPr>
                <w:sz w:val="20"/>
                <w:szCs w:val="20"/>
                <w:color w:val="auto"/>
              </w:rPr>
            </w:pPr>
            <w:r>
              <w:rPr>
                <w:rFonts w:ascii="Arial" w:cs="Arial" w:eastAsia="Arial" w:hAnsi="Arial"/>
                <w:sz w:val="18"/>
                <w:szCs w:val="18"/>
                <w:i w:val="1"/>
                <w:iCs w:val="1"/>
                <w:color w:val="auto"/>
              </w:rPr>
              <w:t>Proposal 4</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6020" w:type="dxa"/>
            <w:vAlign w:val="bottom"/>
            <w:gridSpan w:val="8"/>
          </w:tcPr>
          <w:p>
            <w:pPr>
              <w:spacing w:after="0"/>
              <w:rPr>
                <w:sz w:val="20"/>
                <w:szCs w:val="20"/>
                <w:color w:val="auto"/>
              </w:rPr>
            </w:pPr>
            <w:r>
              <w:rPr>
                <w:rFonts w:ascii="Arial" w:cs="Arial" w:eastAsia="Arial" w:hAnsi="Arial"/>
                <w:sz w:val="18"/>
                <w:szCs w:val="18"/>
                <w:color w:val="auto"/>
              </w:rPr>
              <w:t>Each nominee under Proposal 4 was elected to the Board of Directors.</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48"/>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180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Number of Votes For</w:t>
            </w:r>
          </w:p>
        </w:tc>
        <w:tc>
          <w:tcPr>
            <w:tcW w:w="2160" w:type="dxa"/>
            <w:vAlign w:val="bottom"/>
            <w:gridSpan w:val="2"/>
          </w:tcPr>
          <w:p>
            <w:pPr>
              <w:jc w:val="center"/>
              <w:ind w:right="256"/>
              <w:spacing w:after="0"/>
              <w:rPr>
                <w:sz w:val="20"/>
                <w:szCs w:val="20"/>
                <w:color w:val="auto"/>
              </w:rPr>
            </w:pPr>
            <w:r>
              <w:rPr>
                <w:rFonts w:ascii="Arial" w:cs="Arial" w:eastAsia="Arial" w:hAnsi="Arial"/>
                <w:sz w:val="14"/>
                <w:szCs w:val="14"/>
                <w:b w:val="1"/>
                <w:bCs w:val="1"/>
                <w:color w:val="auto"/>
                <w:w w:val="94"/>
              </w:rPr>
              <w:t>Number of Votes Withheld</w:t>
            </w:r>
          </w:p>
        </w:tc>
        <w:tc>
          <w:tcPr>
            <w:tcW w:w="30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Broker Non-Votes</w:t>
            </w:r>
          </w:p>
        </w:tc>
      </w:tr>
      <w:tr>
        <w:trPr>
          <w:trHeight w:val="243"/>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Patricia M. Nazemetz</w:t>
            </w:r>
          </w:p>
        </w:tc>
        <w:tc>
          <w:tcPr>
            <w:tcW w:w="18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23,115,509</w:t>
            </w:r>
          </w:p>
        </w:tc>
        <w:tc>
          <w:tcPr>
            <w:tcW w:w="4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rPr>
              <w:t>891,711</w:t>
            </w:r>
          </w:p>
        </w:tc>
        <w:tc>
          <w:tcPr>
            <w:tcW w:w="14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3,827,254</w:t>
            </w:r>
          </w:p>
        </w:tc>
        <w:tc>
          <w:tcPr>
            <w:tcW w:w="1660" w:type="dxa"/>
            <w:vAlign w:val="bottom"/>
          </w:tcPr>
          <w:p>
            <w:pPr>
              <w:spacing w:after="0"/>
              <w:rPr>
                <w:sz w:val="21"/>
                <w:szCs w:val="21"/>
                <w:color w:val="auto"/>
              </w:rPr>
            </w:pPr>
          </w:p>
        </w:tc>
      </w:tr>
      <w:tr>
        <w:trPr>
          <w:trHeight w:val="851"/>
        </w:trPr>
        <w:tc>
          <w:tcPr>
            <w:tcW w:w="1860" w:type="dxa"/>
            <w:vAlign w:val="bottom"/>
            <w:gridSpan w:val="5"/>
          </w:tcPr>
          <w:p>
            <w:pPr>
              <w:spacing w:after="0"/>
              <w:rPr>
                <w:sz w:val="20"/>
                <w:szCs w:val="20"/>
                <w:color w:val="auto"/>
              </w:rPr>
            </w:pPr>
            <w:r>
              <w:rPr>
                <w:rFonts w:ascii="Arial" w:cs="Arial" w:eastAsia="Arial" w:hAnsi="Arial"/>
                <w:sz w:val="18"/>
                <w:szCs w:val="18"/>
                <w:color w:val="auto"/>
              </w:rPr>
              <w:t>Item 6. Exhibits</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1860" w:type="dxa"/>
            <w:vAlign w:val="bottom"/>
            <w:gridSpan w:val="5"/>
          </w:tcPr>
          <w:p>
            <w:pPr>
              <w:spacing w:after="0"/>
              <w:rPr>
                <w:sz w:val="20"/>
                <w:szCs w:val="20"/>
                <w:color w:val="auto"/>
              </w:rPr>
            </w:pPr>
            <w:r>
              <w:rPr>
                <w:rFonts w:ascii="Arial" w:cs="Arial" w:eastAsia="Arial" w:hAnsi="Arial"/>
                <w:sz w:val="18"/>
                <w:szCs w:val="18"/>
                <w:color w:val="auto"/>
              </w:rPr>
              <w:t>(10) Material Contracts</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80"/>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5"/>
              </w:rPr>
              <w:t>Form of Restricted Stock Agreement (incorporated by reference to Exhibit 10.1 to Current Report on Form 8-K, filed on</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March 13, 2015, File No. 000-12255).</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2"/>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2"/>
              </w:rPr>
              <w:t>Form of Performance Stock Unit Agreement (incorporated by reference to Exhibit 10.2 to Current Report on Form 8-K, filed</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on March 13, 2015, File No. 000-12255).</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6"/>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1"/>
              </w:rPr>
              <w:t>Exchange Agreement, dated March 25, 2015, among the Company and certain holders of 10% Series B Convertible Senior</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360"/>
              <w:spacing w:after="0"/>
              <w:rPr>
                <w:sz w:val="20"/>
                <w:szCs w:val="20"/>
                <w:color w:val="auto"/>
              </w:rPr>
            </w:pPr>
            <w:r>
              <w:rPr>
                <w:rFonts w:ascii="Arial" w:cs="Arial" w:eastAsia="Arial" w:hAnsi="Arial"/>
                <w:sz w:val="18"/>
                <w:szCs w:val="18"/>
                <w:color w:val="auto"/>
                <w:w w:val="96"/>
              </w:rPr>
              <w:t>Secured Notes due 2015.</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6"/>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0"/>
              </w:rPr>
              <w:t>Certification of James L. Welch filed pursuant to Exchange Act Rules 13a-14 and 15d-14, as adopted pursuant to Section 302</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of the Sarbanes-Oxley Act of 2002.</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2"/>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2"/>
              </w:rPr>
              <w:t>Certification of Jamie G. Pierson filed pursuant to Exchange Act Rules 13a-14 and 15d-14, as adopted pursuant to Section</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302 of the Sarbanes-Oxley Act of 2002.</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2"/>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4"/>
              </w:rPr>
              <w:t>Certification of James L. Welch furnished pursuant to 18 U.S.C. Section 1350, as adopted pursuant to Section 906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2"/>
        </w:trPr>
        <w:tc>
          <w:tcPr>
            <w:tcW w:w="1840" w:type="dxa"/>
            <w:vAlign w:val="bottom"/>
            <w:gridSpan w:val="4"/>
          </w:tcPr>
          <w:p>
            <w:pPr>
              <w:ind w:left="108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400" w:type="dxa"/>
            <w:vAlign w:val="bottom"/>
            <w:gridSpan w:val="8"/>
          </w:tcPr>
          <w:p>
            <w:pPr>
              <w:ind w:left="360"/>
              <w:spacing w:after="0"/>
              <w:rPr>
                <w:sz w:val="20"/>
                <w:szCs w:val="20"/>
                <w:color w:val="auto"/>
              </w:rPr>
            </w:pPr>
            <w:r>
              <w:rPr>
                <w:rFonts w:ascii="Arial" w:cs="Arial" w:eastAsia="Arial" w:hAnsi="Arial"/>
                <w:sz w:val="18"/>
                <w:szCs w:val="18"/>
                <w:color w:val="auto"/>
                <w:w w:val="93"/>
              </w:rPr>
              <w:t>Certification of Jamie G. Pierson furnished pursuant to 18 U.S.C. Section 1350, as adopted pursuant to Section 906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71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101.INS*</w:t>
            </w:r>
          </w:p>
        </w:tc>
        <w:tc>
          <w:tcPr>
            <w:tcW w:w="2360" w:type="dxa"/>
            <w:vAlign w:val="bottom"/>
            <w:gridSpan w:val="2"/>
          </w:tcPr>
          <w:p>
            <w:pPr>
              <w:ind w:left="360"/>
              <w:spacing w:after="0"/>
              <w:rPr>
                <w:sz w:val="20"/>
                <w:szCs w:val="20"/>
                <w:color w:val="auto"/>
              </w:rPr>
            </w:pPr>
            <w:r>
              <w:rPr>
                <w:rFonts w:ascii="Arial" w:cs="Arial" w:eastAsia="Arial" w:hAnsi="Arial"/>
                <w:sz w:val="18"/>
                <w:szCs w:val="18"/>
                <w:color w:val="auto"/>
                <w:w w:val="95"/>
              </w:rPr>
              <w:t>XBRL Instance Document</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w w:val="94"/>
              </w:rPr>
              <w:t>101.SCH*</w:t>
            </w: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w w:val="98"/>
              </w:rPr>
              <w:t>101.CAL*</w:t>
            </w: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w w:val="96"/>
              </w:rPr>
              <w:t>XBRL Taxonomy Extension Calculation Linkbase</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w w:val="97"/>
              </w:rPr>
              <w:t>101.DEF*</w:t>
            </w: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w w:val="99"/>
              </w:rPr>
              <w:t>101.LAB*</w:t>
            </w: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w w:val="96"/>
              </w:rPr>
              <w:t>101.PRE*</w:t>
            </w: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w w:val="93"/>
              </w:rPr>
              <w:t>XBRL Taxonomy Extension Presentation Linkbase</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121" w:right="3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April 30, 2015</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April 30, 2015</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EXCHANGE AGREEMENT</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EXCHANGE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March 25, 2015, is by and among YRC Worldwide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each entity or account listed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hereto (a “</w:t>
      </w:r>
      <w:r>
        <w:rPr>
          <w:rFonts w:ascii="Arial" w:cs="Arial" w:eastAsia="Arial" w:hAnsi="Arial"/>
          <w:sz w:val="22"/>
          <w:szCs w:val="22"/>
          <w:u w:val="single" w:color="auto"/>
          <w:color w:val="auto"/>
        </w:rPr>
        <w:t>Holder</w:t>
      </w:r>
      <w:r>
        <w:rPr>
          <w:rFonts w:ascii="Arial" w:cs="Arial" w:eastAsia="Arial" w:hAnsi="Arial"/>
          <w:sz w:val="22"/>
          <w:szCs w:val="22"/>
          <w:color w:val="auto"/>
        </w:rPr>
        <w:t>” and, solely for ease of reference, collectively, the “</w:t>
      </w:r>
      <w:r>
        <w:rPr>
          <w:rFonts w:ascii="Arial" w:cs="Arial" w:eastAsia="Arial" w:hAnsi="Arial"/>
          <w:sz w:val="22"/>
          <w:szCs w:val="22"/>
          <w:u w:val="single" w:color="auto"/>
          <w:color w:val="auto"/>
        </w:rPr>
        <w:t>Holders</w:t>
      </w:r>
      <w:r>
        <w:rPr>
          <w:rFonts w:ascii="Arial" w:cs="Arial" w:eastAsia="Arial" w:hAnsi="Arial"/>
          <w:sz w:val="22"/>
          <w:szCs w:val="22"/>
          <w:color w:val="auto"/>
        </w:rPr>
        <w:t>”). The Company and the Holders are sometimes referred to herein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 and each of them,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h e r e a s:</w:t>
      </w:r>
    </w:p>
    <w:p>
      <w:pPr>
        <w:spacing w:after="0" w:line="226" w:lineRule="exact"/>
        <w:rPr>
          <w:sz w:val="20"/>
          <w:szCs w:val="20"/>
          <w:color w:val="auto"/>
        </w:rPr>
      </w:pPr>
    </w:p>
    <w:p>
      <w:pPr>
        <w:ind w:firstLine="656"/>
        <w:spacing w:after="0" w:line="276" w:lineRule="auto"/>
        <w:tabs>
          <w:tab w:leader="none" w:pos="1173"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Each Holder owns 10% Series B Convertible Senior Secured Notes due 2015 of the Company, in the aggregate principal amount(s) listed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Series B Notes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53"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Holder, on the one hand, and the Company, on the other hand, wish to exchange the Series B Notes held by such Holder plus accrued and unpaid interest through March 31, 2015 (the “</w:t>
      </w:r>
      <w:r>
        <w:rPr>
          <w:rFonts w:ascii="Arial" w:cs="Arial" w:eastAsia="Arial" w:hAnsi="Arial"/>
          <w:sz w:val="22"/>
          <w:szCs w:val="22"/>
          <w:u w:val="single" w:color="auto"/>
          <w:color w:val="auto"/>
        </w:rPr>
        <w:t>Series B Notes Total</w:t>
      </w:r>
      <w:r>
        <w:rPr>
          <w:rFonts w:ascii="Arial" w:cs="Arial" w:eastAsia="Arial" w:hAnsi="Arial"/>
          <w:sz w:val="22"/>
          <w:szCs w:val="22"/>
          <w:color w:val="auto"/>
        </w:rPr>
        <w:t>”) for such number of shares (the “</w:t>
      </w:r>
      <w:r>
        <w:rPr>
          <w:rFonts w:ascii="Arial" w:cs="Arial" w:eastAsia="Arial" w:hAnsi="Arial"/>
          <w:sz w:val="22"/>
          <w:szCs w:val="22"/>
          <w:u w:val="single" w:color="auto"/>
          <w:color w:val="auto"/>
        </w:rPr>
        <w:t>Shares</w:t>
      </w:r>
      <w:r>
        <w:rPr>
          <w:rFonts w:ascii="Arial" w:cs="Arial" w:eastAsia="Arial" w:hAnsi="Arial"/>
          <w:sz w:val="22"/>
          <w:szCs w:val="22"/>
          <w:color w:val="auto"/>
        </w:rPr>
        <w:t>”) of the Company’s common stock, par value $0.01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listed opposite such Holder’s name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hereto under the heading “Common Stock.”</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This Agreement sets forth the agreement between the Company and each Holder regarding the terms upon which the Company and the Holders will exchange the Series B Notes Total for the Shares. Notwithstanding any collective reference to Holders, each Holder is acting separately in the exercise of its rights hereunder and all of its commitments and liabilities are undertaken on a several and not joint and several basis.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connection with this exchange, the Company and each Holder hereby agree as follows:</w:t>
      </w:r>
    </w:p>
    <w:p>
      <w:pPr>
        <w:spacing w:after="0" w:line="237" w:lineRule="exact"/>
        <w:rPr>
          <w:sz w:val="20"/>
          <w:szCs w:val="20"/>
          <w:color w:val="auto"/>
        </w:rPr>
      </w:pPr>
    </w:p>
    <w:p>
      <w:pPr>
        <w:ind w:left="1440" w:hanging="784"/>
        <w:spacing w:after="0"/>
        <w:tabs>
          <w:tab w:leader="none" w:pos="1440" w:val="left"/>
        </w:tabs>
        <w:numPr>
          <w:ilvl w:val="0"/>
          <w:numId w:val="30"/>
        </w:numPr>
        <w:rPr>
          <w:rFonts w:ascii="Arial" w:cs="Arial" w:eastAsia="Arial" w:hAnsi="Arial"/>
          <w:sz w:val="18"/>
          <w:szCs w:val="18"/>
          <w:color w:val="auto"/>
        </w:rPr>
      </w:pPr>
      <w:r>
        <w:rPr>
          <w:rFonts w:ascii="Arial" w:cs="Arial" w:eastAsia="Arial" w:hAnsi="Arial"/>
          <w:sz w:val="22"/>
          <w:szCs w:val="22"/>
          <w:u w:val="single" w:color="auto"/>
          <w:color w:val="auto"/>
        </w:rPr>
        <w:t>EXCHANGE; CLOSING</w:t>
      </w:r>
    </w:p>
    <w:p>
      <w:pPr>
        <w:spacing w:after="0" w:line="233" w:lineRule="exact"/>
        <w:rPr>
          <w:rFonts w:ascii="Arial" w:cs="Arial" w:eastAsia="Arial" w:hAnsi="Arial"/>
          <w:sz w:val="18"/>
          <w:szCs w:val="18"/>
          <w:color w:val="auto"/>
        </w:rPr>
      </w:pPr>
    </w:p>
    <w:p>
      <w:pPr>
        <w:ind w:left="2160" w:hanging="855"/>
        <w:spacing w:after="0"/>
        <w:tabs>
          <w:tab w:leader="none" w:pos="2160" w:val="left"/>
        </w:tabs>
        <w:numPr>
          <w:ilvl w:val="1"/>
          <w:numId w:val="30"/>
        </w:numPr>
        <w:rPr>
          <w:rFonts w:ascii="Arial" w:cs="Arial" w:eastAsia="Arial" w:hAnsi="Arial"/>
          <w:sz w:val="16"/>
          <w:szCs w:val="16"/>
          <w:color w:val="auto"/>
        </w:rPr>
      </w:pPr>
      <w:r>
        <w:rPr>
          <w:rFonts w:ascii="Arial" w:cs="Arial" w:eastAsia="Arial" w:hAnsi="Arial"/>
          <w:sz w:val="19"/>
          <w:szCs w:val="19"/>
          <w:color w:val="auto"/>
        </w:rPr>
        <w:t>Subject to satisfaction (or waiver) of the conditions set forth in Sections 4 and 5, on the Closing Date (as</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defined below):</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jc w:val="both"/>
        <w:ind w:left="1300" w:firstLine="653"/>
        <w:spacing w:after="0" w:line="254" w:lineRule="auto"/>
        <w:tabs>
          <w:tab w:leader="none" w:pos="2766" w:val="left"/>
        </w:tabs>
        <w:numPr>
          <w:ilvl w:val="2"/>
          <w:numId w:val="30"/>
        </w:numPr>
        <w:rPr>
          <w:rFonts w:ascii="Arial" w:cs="Arial" w:eastAsia="Arial" w:hAnsi="Arial"/>
          <w:sz w:val="18"/>
          <w:szCs w:val="18"/>
          <w:color w:val="auto"/>
        </w:rPr>
      </w:pPr>
      <w:r>
        <w:rPr>
          <w:rFonts w:ascii="Arial" w:cs="Arial" w:eastAsia="Arial" w:hAnsi="Arial"/>
          <w:sz w:val="22"/>
          <w:szCs w:val="22"/>
          <w:color w:val="auto"/>
        </w:rPr>
        <w:t>each Holder shall surrender, transfer and deliver to the Company through the Deposit/Withdrawal at Custodian procedures of The Depository Trust Company (“</w:t>
      </w:r>
      <w:r>
        <w:rPr>
          <w:rFonts w:ascii="Arial" w:cs="Arial" w:eastAsia="Arial" w:hAnsi="Arial"/>
          <w:sz w:val="22"/>
          <w:szCs w:val="22"/>
          <w:u w:val="single" w:color="auto"/>
          <w:color w:val="auto"/>
        </w:rPr>
        <w:t>DTC</w:t>
      </w:r>
      <w:r>
        <w:rPr>
          <w:rFonts w:ascii="Arial" w:cs="Arial" w:eastAsia="Arial" w:hAnsi="Arial"/>
          <w:sz w:val="22"/>
          <w:szCs w:val="22"/>
          <w:color w:val="auto"/>
        </w:rPr>
        <w:t>”), all right, title and interest in and to its Series B Notes, and all claims in respect of or arising or having arisen as a result of such Holder’s status as a holder of Series B Notes; and</w:t>
      </w:r>
    </w:p>
    <w:p>
      <w:pPr>
        <w:spacing w:after="0" w:line="225" w:lineRule="exact"/>
        <w:rPr>
          <w:rFonts w:ascii="Arial" w:cs="Arial" w:eastAsia="Arial" w:hAnsi="Arial"/>
          <w:sz w:val="18"/>
          <w:szCs w:val="18"/>
          <w:color w:val="auto"/>
        </w:rPr>
      </w:pPr>
    </w:p>
    <w:p>
      <w:pPr>
        <w:jc w:val="both"/>
        <w:ind w:left="1300" w:firstLine="653"/>
        <w:spacing w:after="0" w:line="294" w:lineRule="auto"/>
        <w:tabs>
          <w:tab w:leader="none" w:pos="2816" w:val="left"/>
        </w:tabs>
        <w:numPr>
          <w:ilvl w:val="2"/>
          <w:numId w:val="30"/>
        </w:numPr>
        <w:rPr>
          <w:rFonts w:ascii="Arial" w:cs="Arial" w:eastAsia="Arial" w:hAnsi="Arial"/>
          <w:sz w:val="16"/>
          <w:szCs w:val="16"/>
          <w:color w:val="auto"/>
        </w:rPr>
      </w:pPr>
      <w:r>
        <w:rPr>
          <w:rFonts w:ascii="Arial" w:cs="Arial" w:eastAsia="Arial" w:hAnsi="Arial"/>
          <w:sz w:val="19"/>
          <w:szCs w:val="19"/>
          <w:color w:val="auto"/>
        </w:rPr>
        <w:t>the Company shall deliver or cause to be delivered to such Holder (or its custodian or prime broker, as directed) at the offices of the then-acting registrar and transfer agent of the Common Stock or, if there is no then-acting registrar and transfer agent of the Common Stock, at the principal executive offices of the Company, the number of Shares deliverable upon the Closing Date, registered in the name of the relevant Holder (or its designee, as directed). To the extent the Common Stock is settled through the facilities of DTC, the Company will upon the written instruction of a Holder, use its commercially reasonable efforts to deliver the Shares deliverable to such Holder, through the facilities of DTC, to the account of the participant of DTC designated by such Holder.</w:t>
      </w:r>
    </w:p>
    <w:p>
      <w:pPr>
        <w:sectPr>
          <w:pgSz w:w="11900" w:h="16838" w:orient="portrait"/>
          <w:cols w:equalWidth="0" w:num="1">
            <w:col w:w="11420"/>
          </w:cols>
          <w:pgMar w:left="240" w:top="607" w:right="239" w:bottom="1440" w:gutter="0" w:footer="0" w:header="0"/>
        </w:sectPr>
      </w:pPr>
    </w:p>
    <w:bookmarkStart w:id="32" w:name="page33"/>
    <w:bookmarkEnd w:id="32"/>
    <w:p>
      <w:pPr>
        <w:jc w:val="both"/>
        <w:ind w:left="4" w:firstLine="645"/>
        <w:spacing w:after="0" w:line="307" w:lineRule="auto"/>
        <w:tabs>
          <w:tab w:leader="none" w:pos="1510" w:val="left"/>
        </w:tabs>
        <w:numPr>
          <w:ilvl w:val="1"/>
          <w:numId w:val="31"/>
        </w:numPr>
        <w:rPr>
          <w:rFonts w:ascii="Arial" w:cs="Arial" w:eastAsia="Arial" w:hAnsi="Arial"/>
          <w:sz w:val="16"/>
          <w:szCs w:val="16"/>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Closing Date</w:t>
      </w:r>
      <w:r>
        <w:rPr>
          <w:rFonts w:ascii="Arial" w:cs="Arial" w:eastAsia="Arial" w:hAnsi="Arial"/>
          <w:sz w:val="19"/>
          <w:szCs w:val="19"/>
          <w:color w:val="auto"/>
        </w:rPr>
        <w:t>” shall mean the second (2nd) business day after the Holders have confirmed that all of the conditions set forth in Section 5, and the Company has confirmed that all of the conditions set forth in Section 4, have been satisfied (or waived, as provided herein), or on such other date or at such other time and place as is mutually agreed to by the Company and each Holder, but in no event later than March 31, 2015.</w:t>
      </w:r>
    </w:p>
    <w:p>
      <w:pPr>
        <w:spacing w:after="0" w:line="178" w:lineRule="exact"/>
        <w:rPr>
          <w:rFonts w:ascii="Arial" w:cs="Arial" w:eastAsia="Arial" w:hAnsi="Arial"/>
          <w:sz w:val="16"/>
          <w:szCs w:val="16"/>
          <w:color w:val="auto"/>
        </w:rPr>
      </w:pPr>
    </w:p>
    <w:p>
      <w:pPr>
        <w:ind w:left="-656" w:right="20" w:firstLine="656"/>
        <w:spacing w:after="0" w:line="276" w:lineRule="auto"/>
        <w:tabs>
          <w:tab w:leader="none" w:pos="775" w:val="left"/>
        </w:tabs>
        <w:numPr>
          <w:ilvl w:val="0"/>
          <w:numId w:val="32"/>
        </w:numPr>
        <w:rPr>
          <w:rFonts w:ascii="Arial" w:cs="Arial" w:eastAsia="Arial" w:hAnsi="Arial"/>
          <w:sz w:val="18"/>
          <w:szCs w:val="18"/>
          <w:color w:val="auto"/>
        </w:rPr>
      </w:pPr>
      <w:r>
        <w:rPr>
          <w:rFonts w:ascii="Arial" w:cs="Arial" w:eastAsia="Arial" w:hAnsi="Arial"/>
          <w:sz w:val="22"/>
          <w:szCs w:val="22"/>
          <w:u w:val="single" w:color="auto"/>
          <w:color w:val="auto"/>
        </w:rPr>
        <w:t>REPRESENTATIONS, WARRANTIES AND AGREEMENTS OF THE HOLDERS</w:t>
      </w:r>
      <w:r>
        <w:rPr>
          <w:rFonts w:ascii="Arial" w:cs="Arial" w:eastAsia="Arial" w:hAnsi="Arial"/>
          <w:sz w:val="22"/>
          <w:szCs w:val="22"/>
          <w:color w:val="auto"/>
        </w:rPr>
        <w:t>. Each Holder, solely on behalf of itself, hereby represents and warrants to the Company and agrees with the Company as follows:</w:t>
      </w:r>
    </w:p>
    <w:p>
      <w:pPr>
        <w:spacing w:after="0" w:line="160" w:lineRule="exact"/>
        <w:rPr>
          <w:rFonts w:ascii="Arial" w:cs="Arial" w:eastAsia="Arial" w:hAnsi="Arial"/>
          <w:sz w:val="18"/>
          <w:szCs w:val="18"/>
          <w:color w:val="auto"/>
        </w:rPr>
      </w:pPr>
    </w:p>
    <w:p>
      <w:pPr>
        <w:jc w:val="both"/>
        <w:ind w:left="-656" w:firstLine="1305"/>
        <w:spacing w:after="0" w:line="250" w:lineRule="auto"/>
        <w:tabs>
          <w:tab w:leader="none" w:pos="1488"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 xml:space="preserve">. Such Holder is the legal and beneficial owner of the Series B Notes listed opposite its name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hereto under the heading “Series B Notes.” Upon delivery to the Company of such Series B Notes, and upon such Holder’s receipt of its Shares, in each case, pursuant to this Agreement, good and valid title to such Series B Notes will pass to the Company, free and clear of any liens free and clear of any liens, claims, encumbrances, security interests, options, charges and restrictions of any kind (collectively, “</w:t>
      </w:r>
      <w:r>
        <w:rPr>
          <w:rFonts w:ascii="Arial" w:cs="Arial" w:eastAsia="Arial" w:hAnsi="Arial"/>
          <w:sz w:val="22"/>
          <w:szCs w:val="22"/>
          <w:u w:val="single" w:color="auto"/>
          <w:color w:val="auto"/>
        </w:rPr>
        <w:t>Liens</w:t>
      </w:r>
      <w:r>
        <w:rPr>
          <w:rFonts w:ascii="Arial" w:cs="Arial" w:eastAsia="Arial" w:hAnsi="Arial"/>
          <w:sz w:val="22"/>
          <w:szCs w:val="22"/>
          <w:color w:val="auto"/>
        </w:rPr>
        <w:t>”). Such Series B Notes constitute all of the Company’s Series B Notes beneficially owned by such Holder.</w:t>
      </w:r>
    </w:p>
    <w:p>
      <w:pPr>
        <w:spacing w:after="0" w:line="228" w:lineRule="exact"/>
        <w:rPr>
          <w:rFonts w:ascii="Arial" w:cs="Arial" w:eastAsia="Arial" w:hAnsi="Arial"/>
          <w:sz w:val="18"/>
          <w:szCs w:val="18"/>
          <w:color w:val="auto"/>
        </w:rPr>
      </w:pPr>
    </w:p>
    <w:p>
      <w:pPr>
        <w:jc w:val="both"/>
        <w:ind w:left="-656" w:firstLine="1305"/>
        <w:spacing w:after="0" w:line="254" w:lineRule="auto"/>
        <w:tabs>
          <w:tab w:leader="none" w:pos="1498"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Organization and Qualification</w:t>
      </w:r>
      <w:r>
        <w:rPr>
          <w:rFonts w:ascii="Arial" w:cs="Arial" w:eastAsia="Arial" w:hAnsi="Arial"/>
          <w:sz w:val="22"/>
          <w:szCs w:val="22"/>
          <w:color w:val="auto"/>
        </w:rPr>
        <w:t>. Such Holder is or has been duly organized or registered and is validly existing and in good standing under the laws of the jurisdiction in which it was formed, and has the requisite corporate, limited liability company, or partnership, as applicable, power and authority to own its properties and to carry on its business as now being conducted.</w:t>
      </w:r>
    </w:p>
    <w:p>
      <w:pPr>
        <w:spacing w:after="0" w:line="225" w:lineRule="exact"/>
        <w:rPr>
          <w:rFonts w:ascii="Arial" w:cs="Arial" w:eastAsia="Arial" w:hAnsi="Arial"/>
          <w:sz w:val="18"/>
          <w:szCs w:val="18"/>
          <w:color w:val="auto"/>
        </w:rPr>
      </w:pPr>
    </w:p>
    <w:p>
      <w:pPr>
        <w:jc w:val="both"/>
        <w:ind w:left="-656" w:firstLine="1305"/>
        <w:spacing w:after="0" w:line="294" w:lineRule="auto"/>
        <w:tabs>
          <w:tab w:leader="none" w:pos="1488" w:val="left"/>
        </w:tabs>
        <w:numPr>
          <w:ilvl w:val="1"/>
          <w:numId w:val="32"/>
        </w:numPr>
        <w:rPr>
          <w:rFonts w:ascii="Arial" w:cs="Arial" w:eastAsia="Arial" w:hAnsi="Arial"/>
          <w:sz w:val="16"/>
          <w:szCs w:val="16"/>
          <w:color w:val="auto"/>
        </w:rPr>
      </w:pPr>
      <w:r>
        <w:rPr>
          <w:rFonts w:ascii="Arial" w:cs="Arial" w:eastAsia="Arial" w:hAnsi="Arial"/>
          <w:sz w:val="19"/>
          <w:szCs w:val="19"/>
          <w:u w:val="single" w:color="auto"/>
          <w:color w:val="auto"/>
        </w:rPr>
        <w:t>No Public Sale or Distribution</w:t>
      </w:r>
      <w:r>
        <w:rPr>
          <w:rFonts w:ascii="Arial" w:cs="Arial" w:eastAsia="Arial" w:hAnsi="Arial"/>
          <w:sz w:val="19"/>
          <w:szCs w:val="19"/>
          <w:color w:val="auto"/>
        </w:rPr>
        <w:t xml:space="preserve">. Such Holder is acquiring the Shares for its own account and not with a view towards, or for resale in connection with, the public sale or distribution thereof, except pursuant to sales registered or exempted under the Securities Act, and such Holder does not have a present arrangement or agreement to effect any distribution of the Shares to or through any person or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by making the representations herein, such Holder does not agree, or make any representation or warranty, to hold any of the Shares for any minimum period of time or other specific term and reserves the right to dispose of the Shares at any time in accordance with or pursuant to a registration statement filed pursuant to or an exemption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w:t>
      </w:r>
    </w:p>
    <w:p>
      <w:pPr>
        <w:spacing w:after="0" w:line="192" w:lineRule="exact"/>
        <w:rPr>
          <w:rFonts w:ascii="Arial" w:cs="Arial" w:eastAsia="Arial" w:hAnsi="Arial"/>
          <w:sz w:val="16"/>
          <w:szCs w:val="16"/>
          <w:color w:val="auto"/>
        </w:rPr>
      </w:pPr>
    </w:p>
    <w:p>
      <w:pPr>
        <w:jc w:val="both"/>
        <w:ind w:left="-656" w:firstLine="1305"/>
        <w:spacing w:after="0" w:line="250" w:lineRule="auto"/>
        <w:tabs>
          <w:tab w:leader="none" w:pos="1498"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Accredited Investor; Affiliate Status</w:t>
      </w:r>
      <w:r>
        <w:rPr>
          <w:rFonts w:ascii="Arial" w:cs="Arial" w:eastAsia="Arial" w:hAnsi="Arial"/>
          <w:sz w:val="22"/>
          <w:szCs w:val="22"/>
          <w:color w:val="auto"/>
        </w:rPr>
        <w:t>. Such Holder is an “accredited investor” as that term is defined in Rule 501(a) of Regulation D (“</w:t>
      </w:r>
      <w:r>
        <w:rPr>
          <w:rFonts w:ascii="Arial" w:cs="Arial" w:eastAsia="Arial" w:hAnsi="Arial"/>
          <w:sz w:val="22"/>
          <w:szCs w:val="22"/>
          <w:u w:val="single" w:color="auto"/>
          <w:color w:val="auto"/>
        </w:rPr>
        <w:t>Regulation D</w:t>
      </w:r>
      <w:r>
        <w:rPr>
          <w:rFonts w:ascii="Arial" w:cs="Arial" w:eastAsia="Arial" w:hAnsi="Arial"/>
          <w:sz w:val="22"/>
          <w:szCs w:val="22"/>
          <w:color w:val="auto"/>
        </w:rPr>
        <w:t>”) as promulgated by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under the Securities Act. Neither the Holder nor any of its Affiliates (as that term is defined in Rule 144(a)(1) as promulgated under the Securities Act (“</w:t>
      </w:r>
      <w:r>
        <w:rPr>
          <w:rFonts w:ascii="Arial" w:cs="Arial" w:eastAsia="Arial" w:hAnsi="Arial"/>
          <w:sz w:val="22"/>
          <w:szCs w:val="22"/>
          <w:u w:val="single" w:color="auto"/>
          <w:color w:val="auto"/>
        </w:rPr>
        <w:t>Rule 144</w:t>
      </w:r>
      <w:r>
        <w:rPr>
          <w:rFonts w:ascii="Arial" w:cs="Arial" w:eastAsia="Arial" w:hAnsi="Arial"/>
          <w:sz w:val="22"/>
          <w:szCs w:val="22"/>
          <w:color w:val="auto"/>
        </w:rPr>
        <w:t>”)) is as of the date this Agreement, and has not been during the preceding three months, an officer, director, or more than 10% shareholder of the Company or in any other way an Affiliate of the Company (as that term is defined in Rule 144).</w:t>
      </w:r>
    </w:p>
    <w:p>
      <w:pPr>
        <w:spacing w:after="0" w:line="228" w:lineRule="exact"/>
        <w:rPr>
          <w:rFonts w:ascii="Arial" w:cs="Arial" w:eastAsia="Arial" w:hAnsi="Arial"/>
          <w:sz w:val="18"/>
          <w:szCs w:val="18"/>
          <w:color w:val="auto"/>
        </w:rPr>
      </w:pPr>
    </w:p>
    <w:p>
      <w:pPr>
        <w:jc w:val="both"/>
        <w:ind w:left="-656" w:firstLine="1305"/>
        <w:spacing w:after="0" w:line="251" w:lineRule="auto"/>
        <w:tabs>
          <w:tab w:leader="none" w:pos="1488"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Reliance on Exemptions</w:t>
      </w:r>
      <w:r>
        <w:rPr>
          <w:rFonts w:ascii="Arial" w:cs="Arial" w:eastAsia="Arial" w:hAnsi="Arial"/>
          <w:sz w:val="22"/>
          <w:szCs w:val="22"/>
          <w:color w:val="auto"/>
        </w:rPr>
        <w:t>. Such Holder understands that the Shares are being offered and sold to it in reliance on specific exemptions from the registration requirements of United States federal and state securities laws and that the Company is relying in part upon the truth and accuracy of, and such Holder’s compliance with, the representations, warranties, agreements, acknowledgments and understandings of such Holder set forth herein in order to determine the availability of such exemptions and the eligibility of such Holder to acquire the Shares.</w:t>
      </w:r>
    </w:p>
    <w:p>
      <w:pPr>
        <w:spacing w:after="0" w:line="230" w:lineRule="exact"/>
        <w:rPr>
          <w:rFonts w:ascii="Arial" w:cs="Arial" w:eastAsia="Arial" w:hAnsi="Arial"/>
          <w:sz w:val="18"/>
          <w:szCs w:val="18"/>
          <w:color w:val="auto"/>
        </w:rPr>
      </w:pPr>
    </w:p>
    <w:p>
      <w:pPr>
        <w:ind w:left="-656" w:firstLine="1305"/>
        <w:spacing w:after="0" w:line="276" w:lineRule="auto"/>
        <w:tabs>
          <w:tab w:leader="none" w:pos="1468"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Such Holder acknowledges that neither the Company nor any person representing the Company has made any representation to it with respect to the Company or the exchange</w:t>
      </w:r>
    </w:p>
    <w:p>
      <w:pPr>
        <w:sectPr>
          <w:pgSz w:w="11900" w:h="16838" w:orient="portrait"/>
          <w:cols w:equalWidth="0" w:num="1">
            <w:col w:w="10764"/>
          </w:cols>
          <w:pgMar w:left="896" w:top="591" w:right="2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9"/>
          <w:szCs w:val="19"/>
          <w:color w:val="auto"/>
        </w:rPr>
        <w:t>of the Series B Notes for the Shares, other than the representations and warranties of the Company contained in Section 3 hereof. Such Holder and its advisors, if any, have been furnished with all materials relating to the business, finances and operations of the Company and its Subsidiaries (as defined below) and materials relating to the offer and sale of the Shares hereunder which have been requested by such Holder. Such Holder and its advisors, if any, have been afforded the opportunity to ask questions of the Company. Neither such inquiries nor any other due diligence investigations conducted by such Holder or its advisors, if any, or its representatives, shall modify, amend or affect such Holder’s right to rely on the Company’s representations and warranties contained herein. Such Holder understands that its investment in the Shares hereunder involves a high degree of risk and that it is able to afford a complete loss of such investment and confirms that it has independently evaluated the merits of its decision to acquire the Shares hereunder. Such Holder understands that nothing in this Agreement or any other materials presented by or on behalf of the Company or its Subsidiaries to the Holder in connection with the acquisition of the Shares hereunder constitutes legal, tax or investment advice. Such Holder has sought such accounting, legal and tax advice as it has considered necessary to make an informed investment decision with respect to its acquisition of the Shares hereunder. As of the date hereof, such Holder is not aware of any conditions or circumstances that would cause any of the Company’s representations in Section 3 hereof not to be true and correct in all material respects.</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54" w:lineRule="auto"/>
        <w:tabs>
          <w:tab w:leader="none" w:pos="2155"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No Governmental Review</w:t>
      </w:r>
      <w:r>
        <w:rPr>
          <w:rFonts w:ascii="Arial" w:cs="Arial" w:eastAsia="Arial" w:hAnsi="Arial"/>
          <w:sz w:val="22"/>
          <w:szCs w:val="22"/>
          <w:color w:val="auto"/>
        </w:rPr>
        <w:t>. Such Holder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2155"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Transfer or Resale of the Shares</w:t>
      </w:r>
      <w:r>
        <w:rPr>
          <w:rFonts w:ascii="Arial" w:cs="Arial" w:eastAsia="Arial" w:hAnsi="Arial"/>
          <w:sz w:val="22"/>
          <w:szCs w:val="22"/>
          <w:color w:val="auto"/>
        </w:rPr>
        <w:t>. Such Holder understands that the Shares have not been and are not being registered under the Securities Act or any state securities laws, and may not be offered for sale, sold, assigned or transferred unless subsequently registered thereunder or in compliance with an exemption from registration under the Securities Act or the rules and regulations of the SEC thereunder.</w:t>
      </w:r>
    </w:p>
    <w:p>
      <w:pPr>
        <w:spacing w:after="0" w:line="225" w:lineRule="exact"/>
        <w:rPr>
          <w:rFonts w:ascii="Arial" w:cs="Arial" w:eastAsia="Arial" w:hAnsi="Arial"/>
          <w:sz w:val="18"/>
          <w:szCs w:val="18"/>
          <w:color w:val="auto"/>
        </w:rPr>
      </w:pPr>
    </w:p>
    <w:p>
      <w:pPr>
        <w:jc w:val="both"/>
        <w:ind w:firstLine="1305"/>
        <w:spacing w:after="0" w:line="251" w:lineRule="auto"/>
        <w:tabs>
          <w:tab w:leader="none" w:pos="2115"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Authorization; Enforcement; Validity</w:t>
      </w:r>
      <w:r>
        <w:rPr>
          <w:rFonts w:ascii="Arial" w:cs="Arial" w:eastAsia="Arial" w:hAnsi="Arial"/>
          <w:sz w:val="22"/>
          <w:szCs w:val="22"/>
          <w:color w:val="auto"/>
        </w:rPr>
        <w:t>. This Agreement has been duly and validly authorized, executed and delivered on behalf of such Holder and constitutes a legal, valid and binding obligation of such Holder, enforceable against such Holder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230" w:lineRule="exact"/>
        <w:rPr>
          <w:rFonts w:ascii="Arial" w:cs="Arial" w:eastAsia="Arial" w:hAnsi="Arial"/>
          <w:sz w:val="18"/>
          <w:szCs w:val="18"/>
          <w:color w:val="auto"/>
        </w:rPr>
      </w:pPr>
    </w:p>
    <w:p>
      <w:pPr>
        <w:jc w:val="both"/>
        <w:ind w:firstLine="1305"/>
        <w:spacing w:after="0" w:line="261" w:lineRule="auto"/>
        <w:tabs>
          <w:tab w:leader="none" w:pos="2115" w:val="left"/>
        </w:tabs>
        <w:numPr>
          <w:ilvl w:val="0"/>
          <w:numId w:val="33"/>
        </w:numPr>
        <w:rPr>
          <w:rFonts w:ascii="Arial" w:cs="Arial" w:eastAsia="Arial" w:hAnsi="Arial"/>
          <w:sz w:val="17"/>
          <w:szCs w:val="17"/>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The execution, delivery and performance by such Holder of this Agreement and the consummation by such Holder of the transactions contemplated hereby will not (i) result in a violation of the organizational documents of such Holder or (ii) conflict with, or constitute a default (or an event which with notice or lapse of time or both would become a default) under, or give to others any rights of termination, amendment, acceleration or cancellation of, any agreement, indenture or instrument to which such Holder is a party, or (iii) result in a violation of any law, rule, regulation, order, judgment or decree (including federal and state securities laws) applicable to such Holder, except in the case of clauses (ii) and (iii) above, for such conflicts, defaults, rights or violations which would not, individually or in the aggregate, reasonably be expected to have a material adverse effect on the ability of such Holder to perform its obligations hereunder.</w:t>
      </w:r>
    </w:p>
    <w:p>
      <w:pPr>
        <w:spacing w:after="0" w:line="222" w:lineRule="exact"/>
        <w:rPr>
          <w:rFonts w:ascii="Arial" w:cs="Arial" w:eastAsia="Arial" w:hAnsi="Arial"/>
          <w:sz w:val="17"/>
          <w:szCs w:val="17"/>
          <w:color w:val="auto"/>
        </w:rPr>
      </w:pPr>
    </w:p>
    <w:p>
      <w:pPr>
        <w:jc w:val="both"/>
        <w:ind w:firstLine="1305"/>
        <w:spacing w:after="0" w:line="320" w:lineRule="auto"/>
        <w:tabs>
          <w:tab w:leader="none" w:pos="2155" w:val="left"/>
        </w:tabs>
        <w:numPr>
          <w:ilvl w:val="0"/>
          <w:numId w:val="33"/>
        </w:numPr>
        <w:rPr>
          <w:rFonts w:ascii="Arial" w:cs="Arial" w:eastAsia="Arial" w:hAnsi="Arial"/>
          <w:sz w:val="16"/>
          <w:szCs w:val="16"/>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The Holder is not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this Agreement in accordance with the terms hereof.</w:t>
      </w:r>
    </w:p>
    <w:p>
      <w:pPr>
        <w:sectPr>
          <w:pgSz w:w="11900" w:h="16838" w:orient="portrait"/>
          <w:cols w:equalWidth="0" w:num="1">
            <w:col w:w="11420"/>
          </w:cols>
          <w:pgMar w:left="240" w:top="591" w:right="239" w:bottom="1440" w:gutter="0" w:footer="0" w:header="0"/>
        </w:sectPr>
      </w:pPr>
    </w:p>
    <w:bookmarkStart w:id="34" w:name="page35"/>
    <w:bookmarkEnd w:id="34"/>
    <w:p>
      <w:pPr>
        <w:ind w:left="-656" w:right="20" w:firstLine="1305"/>
        <w:spacing w:after="0" w:line="276" w:lineRule="auto"/>
        <w:tabs>
          <w:tab w:leader="none" w:pos="1458" w:val="left"/>
        </w:tabs>
        <w:numPr>
          <w:ilvl w:val="0"/>
          <w:numId w:val="34"/>
        </w:numPr>
        <w:rPr>
          <w:rFonts w:ascii="Arial" w:cs="Arial" w:eastAsia="Arial" w:hAnsi="Arial"/>
          <w:sz w:val="18"/>
          <w:szCs w:val="18"/>
          <w:color w:val="auto"/>
        </w:rPr>
      </w:pPr>
      <w:r>
        <w:rPr>
          <w:rFonts w:ascii="Arial" w:cs="Arial" w:eastAsia="Arial" w:hAnsi="Arial"/>
          <w:sz w:val="22"/>
          <w:szCs w:val="22"/>
          <w:u w:val="single" w:color="auto"/>
          <w:color w:val="auto"/>
        </w:rPr>
        <w:t>Residency</w:t>
      </w:r>
      <w:r>
        <w:rPr>
          <w:rFonts w:ascii="Arial" w:cs="Arial" w:eastAsia="Arial" w:hAnsi="Arial"/>
          <w:sz w:val="22"/>
          <w:szCs w:val="22"/>
          <w:color w:val="auto"/>
        </w:rPr>
        <w:t>. Such Holder is a resident of the jurisdiction listed opposite such Holder’s name on Appendix A hereto under the heading “Address.”</w:t>
      </w:r>
    </w:p>
    <w:p>
      <w:pPr>
        <w:spacing w:after="0" w:line="201" w:lineRule="exact"/>
        <w:rPr>
          <w:rFonts w:ascii="Arial" w:cs="Arial" w:eastAsia="Arial" w:hAnsi="Arial"/>
          <w:sz w:val="18"/>
          <w:szCs w:val="18"/>
          <w:color w:val="auto"/>
        </w:rPr>
      </w:pPr>
    </w:p>
    <w:p>
      <w:pPr>
        <w:ind w:left="-656" w:firstLine="1305"/>
        <w:spacing w:after="0" w:line="276" w:lineRule="auto"/>
        <w:tabs>
          <w:tab w:leader="none" w:pos="1548" w:val="left"/>
        </w:tabs>
        <w:numPr>
          <w:ilvl w:val="0"/>
          <w:numId w:val="34"/>
        </w:numPr>
        <w:rPr>
          <w:rFonts w:ascii="Arial" w:cs="Arial" w:eastAsia="Arial" w:hAnsi="Arial"/>
          <w:sz w:val="18"/>
          <w:szCs w:val="18"/>
          <w:color w:val="auto"/>
        </w:rPr>
      </w:pPr>
      <w:r>
        <w:rPr>
          <w:rFonts w:ascii="Arial" w:cs="Arial" w:eastAsia="Arial" w:hAnsi="Arial"/>
          <w:sz w:val="22"/>
          <w:szCs w:val="22"/>
          <w:u w:val="single" w:color="auto"/>
          <w:color w:val="auto"/>
        </w:rPr>
        <w:t>Accuracy of Representations</w:t>
      </w:r>
      <w:r>
        <w:rPr>
          <w:rFonts w:ascii="Arial" w:cs="Arial" w:eastAsia="Arial" w:hAnsi="Arial"/>
          <w:sz w:val="22"/>
          <w:szCs w:val="22"/>
          <w:color w:val="auto"/>
        </w:rPr>
        <w:t>. Such Holder acknowledges that the Company is relying upon the truth and accuracy of the foregoing representations, warranties and agreements.</w:t>
      </w:r>
    </w:p>
    <w:p>
      <w:pPr>
        <w:spacing w:after="0" w:line="201" w:lineRule="exact"/>
        <w:rPr>
          <w:sz w:val="20"/>
          <w:szCs w:val="20"/>
          <w:color w:val="auto"/>
        </w:rPr>
      </w:pPr>
    </w:p>
    <w:p>
      <w:pPr>
        <w:ind w:left="4" w:right="2540" w:hanging="4"/>
        <w:spacing w:after="0" w:line="358" w:lineRule="auto"/>
        <w:tabs>
          <w:tab w:leader="none" w:pos="787" w:val="left"/>
        </w:tabs>
        <w:numPr>
          <w:ilvl w:val="0"/>
          <w:numId w:val="35"/>
        </w:numPr>
        <w:rPr>
          <w:rFonts w:ascii="Arial" w:cs="Arial" w:eastAsia="Arial" w:hAnsi="Arial"/>
          <w:sz w:val="16"/>
          <w:szCs w:val="16"/>
          <w:color w:val="auto"/>
        </w:rPr>
      </w:pPr>
      <w:r>
        <w:rPr>
          <w:rFonts w:ascii="Arial" w:cs="Arial" w:eastAsia="Arial" w:hAnsi="Arial"/>
          <w:sz w:val="19"/>
          <w:szCs w:val="19"/>
          <w:u w:val="single" w:color="auto"/>
          <w:color w:val="auto"/>
        </w:rPr>
        <w:t xml:space="preserve">REPRESENTATIONS, WARRANTIES AND AGREEMENTS OF THE COMPANY. </w:t>
      </w:r>
      <w:r>
        <w:rPr>
          <w:rFonts w:ascii="Arial" w:cs="Arial" w:eastAsia="Arial" w:hAnsi="Arial"/>
          <w:sz w:val="19"/>
          <w:szCs w:val="19"/>
          <w:color w:val="auto"/>
        </w:rPr>
        <w:t>The Company hereby represents and warrants to each Holder and agrees as follows:</w:t>
      </w:r>
    </w:p>
    <w:p>
      <w:pPr>
        <w:spacing w:after="0" w:line="90" w:lineRule="exact"/>
        <w:rPr>
          <w:rFonts w:ascii="Arial" w:cs="Arial" w:eastAsia="Arial" w:hAnsi="Arial"/>
          <w:sz w:val="16"/>
          <w:szCs w:val="16"/>
          <w:color w:val="auto"/>
        </w:rPr>
      </w:pPr>
    </w:p>
    <w:p>
      <w:pPr>
        <w:jc w:val="both"/>
        <w:ind w:left="-656" w:firstLine="1305"/>
        <w:spacing w:after="0" w:line="288" w:lineRule="auto"/>
        <w:tabs>
          <w:tab w:leader="none" w:pos="1488" w:val="left"/>
        </w:tabs>
        <w:numPr>
          <w:ilvl w:val="1"/>
          <w:numId w:val="35"/>
        </w:numPr>
        <w:rPr>
          <w:rFonts w:ascii="Arial" w:cs="Arial" w:eastAsia="Arial" w:hAnsi="Arial"/>
          <w:sz w:val="16"/>
          <w:szCs w:val="16"/>
          <w:color w:val="auto"/>
        </w:rPr>
      </w:pP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Each of the Company and its “</w:t>
      </w:r>
      <w:r>
        <w:rPr>
          <w:rFonts w:ascii="Arial" w:cs="Arial" w:eastAsia="Arial" w:hAnsi="Arial"/>
          <w:sz w:val="19"/>
          <w:szCs w:val="19"/>
          <w:u w:val="single" w:color="auto"/>
          <w:color w:val="auto"/>
        </w:rPr>
        <w:t>Subsidiaries</w:t>
      </w:r>
      <w:r>
        <w:rPr>
          <w:rFonts w:ascii="Arial" w:cs="Arial" w:eastAsia="Arial" w:hAnsi="Arial"/>
          <w:sz w:val="19"/>
          <w:szCs w:val="19"/>
          <w:color w:val="auto"/>
        </w:rPr>
        <w:t>” (which, for purposes of this Agreement, shall mean any entity in which the Company, directly or indirectly, owns capital stock or holds an equity or similar interest such that such entity is consolidated with the Company’s results of operations for accounting purposes) are corporations or other legal entities duly organized and validly existing in good standing under the laws of the jurisdiction in which they are incorporated or formed, and have the requisite corporate or other organizational power and authorization to own their properties and to carry on their business as now being conducted, except to the extent that such Subsidiary’s failure to be in good standing would not reasonably be expected to have a Material Adverse Effect. Each of the Company and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used in this Agreement, “</w:t>
      </w:r>
      <w:r>
        <w:rPr>
          <w:rFonts w:ascii="Arial" w:cs="Arial" w:eastAsia="Arial" w:hAnsi="Arial"/>
          <w:sz w:val="19"/>
          <w:szCs w:val="19"/>
          <w:u w:val="single" w:color="auto"/>
          <w:color w:val="auto"/>
        </w:rPr>
        <w:t>Material Adverse</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w:t>
      </w:r>
      <w:r>
        <w:rPr>
          <w:rFonts w:ascii="Arial" w:cs="Arial" w:eastAsia="Arial" w:hAnsi="Arial"/>
          <w:sz w:val="19"/>
          <w:szCs w:val="19"/>
          <w:color w:val="auto"/>
        </w:rPr>
        <w:t>” means any material adverse change or effect on the business, properties, assets, operations, results of operations, condition (financial or otherwise) or prospects of the Company and its Subsidiaries, taken as a whole or on the transactions contemplated by this Agreement or by the agreements and instruments to be entered into in connection herewith, or on the authority or ability of the Company to perform its obligations under this Agreement.</w:t>
      </w: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jc w:val="both"/>
        <w:ind w:left="-656" w:firstLine="1305"/>
        <w:spacing w:after="0" w:line="291" w:lineRule="auto"/>
        <w:tabs>
          <w:tab w:leader="none" w:pos="1498" w:val="left"/>
        </w:tabs>
        <w:numPr>
          <w:ilvl w:val="1"/>
          <w:numId w:val="35"/>
        </w:numPr>
        <w:rPr>
          <w:rFonts w:ascii="Arial" w:cs="Arial" w:eastAsia="Arial" w:hAnsi="Arial"/>
          <w:sz w:val="16"/>
          <w:szCs w:val="16"/>
          <w:color w:val="auto"/>
        </w:rPr>
      </w:pPr>
      <w:r>
        <w:rPr>
          <w:rFonts w:ascii="Arial" w:cs="Arial" w:eastAsia="Arial" w:hAnsi="Arial"/>
          <w:sz w:val="19"/>
          <w:szCs w:val="19"/>
          <w:u w:val="single" w:color="auto"/>
          <w:color w:val="auto"/>
        </w:rPr>
        <w:t>Authorization; Enforcement; Validity</w:t>
      </w:r>
      <w:r>
        <w:rPr>
          <w:rFonts w:ascii="Arial" w:cs="Arial" w:eastAsia="Arial" w:hAnsi="Arial"/>
          <w:sz w:val="19"/>
          <w:szCs w:val="19"/>
          <w:color w:val="auto"/>
        </w:rPr>
        <w:t>. The Company has the requisite corporate power and authority to enter into and perform its obligations under this Agreement and to issue the Shares in accordance with the terms hereof and thereof. The execution and delivery of this Agreement by the Company and the consummation by the Company of the transactions contemplated hereby, including, without limitation, the issuance of the Shares have been duly authorized by the Company’s board of directors (“</w:t>
      </w:r>
      <w:r>
        <w:rPr>
          <w:rFonts w:ascii="Arial" w:cs="Arial" w:eastAsia="Arial" w:hAnsi="Arial"/>
          <w:sz w:val="19"/>
          <w:szCs w:val="19"/>
          <w:u w:val="single" w:color="auto"/>
          <w:color w:val="auto"/>
        </w:rPr>
        <w:t>Board</w:t>
      </w:r>
      <w:r>
        <w:rPr>
          <w:rFonts w:ascii="Arial" w:cs="Arial" w:eastAsia="Arial" w:hAnsi="Arial"/>
          <w:sz w:val="19"/>
          <w:szCs w:val="19"/>
          <w:color w:val="auto"/>
        </w:rPr>
        <w:t>”), and no further consent or authorization is required by the Company, its Board or its stockholders. This Agreement has been duly executed and delivered by the Company, and constitutes a legal, valid and binding obligation of the Company, enforceable against the Company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95" w:lineRule="exact"/>
        <w:rPr>
          <w:rFonts w:ascii="Arial" w:cs="Arial" w:eastAsia="Arial" w:hAnsi="Arial"/>
          <w:sz w:val="16"/>
          <w:szCs w:val="16"/>
          <w:color w:val="auto"/>
        </w:rPr>
      </w:pPr>
    </w:p>
    <w:p>
      <w:pPr>
        <w:jc w:val="both"/>
        <w:ind w:left="-656" w:firstLine="1305"/>
        <w:spacing w:after="0" w:line="261" w:lineRule="auto"/>
        <w:tabs>
          <w:tab w:leader="none" w:pos="1488" w:val="left"/>
        </w:tabs>
        <w:numPr>
          <w:ilvl w:val="1"/>
          <w:numId w:val="35"/>
        </w:numPr>
        <w:rPr>
          <w:rFonts w:ascii="Arial" w:cs="Arial" w:eastAsia="Arial" w:hAnsi="Arial"/>
          <w:sz w:val="17"/>
          <w:szCs w:val="17"/>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The execution, delivery and performance of this Agreement by the Company and the consummation by the Company of the transactions contemplated hereby (including, without limitation, the issuance of the Shares) does not and will not (i) result in a violation of the Company’s certificate of incorporation or bylaws, (ii) result in a violation of any certificate of incorporation, certificate of formation, certificate of designation, bylaw or other constituent document of any of the Company’s Subsidiaries, (iii)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(iv) result in a violation of any law, rule, regulation, order, judgment or decree (including federal and state securities</w:t>
      </w:r>
    </w:p>
    <w:p>
      <w:pPr>
        <w:sectPr>
          <w:pgSz w:w="11900" w:h="16838" w:orient="portrait"/>
          <w:cols w:equalWidth="0" w:num="1">
            <w:col w:w="10764"/>
          </w:cols>
          <w:pgMar w:left="896" w:top="847" w:right="2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22"/>
          <w:szCs w:val="22"/>
          <w:color w:val="auto"/>
        </w:rPr>
        <w:t>laws and regulations and the rules and regulations of The NASDAQ Stock Market (the “</w:t>
      </w:r>
      <w:r>
        <w:rPr>
          <w:rFonts w:ascii="Arial" w:cs="Arial" w:eastAsia="Arial" w:hAnsi="Arial"/>
          <w:sz w:val="22"/>
          <w:szCs w:val="22"/>
          <w:u w:val="single" w:color="auto"/>
          <w:color w:val="auto"/>
        </w:rPr>
        <w:t>Principal Market</w:t>
      </w:r>
      <w:r>
        <w:rPr>
          <w:rFonts w:ascii="Arial" w:cs="Arial" w:eastAsia="Arial" w:hAnsi="Arial"/>
          <w:sz w:val="22"/>
          <w:szCs w:val="22"/>
          <w:color w:val="auto"/>
        </w:rPr>
        <w:t>”)) applicable to the Company or any of its Subsidiaries or by which any property or asset of the Company or any of its Subsidiaries is bound or affected, except in the case of clauses (iii) and (iv) above, as could not, individually or in the aggregate, reasonably be expected to have a Material Adverse Effect.</w:t>
      </w:r>
    </w:p>
    <w:p>
      <w:pPr>
        <w:spacing w:after="0" w:line="229" w:lineRule="exact"/>
        <w:rPr>
          <w:sz w:val="20"/>
          <w:szCs w:val="20"/>
          <w:color w:val="auto"/>
        </w:rPr>
      </w:pPr>
    </w:p>
    <w:p>
      <w:pPr>
        <w:jc w:val="both"/>
        <w:ind w:firstLine="1305"/>
        <w:spacing w:after="0" w:line="259" w:lineRule="auto"/>
        <w:tabs>
          <w:tab w:leader="none" w:pos="2155" w:val="left"/>
        </w:tabs>
        <w:numPr>
          <w:ilvl w:val="0"/>
          <w:numId w:val="36"/>
        </w:numPr>
        <w:rPr>
          <w:rFonts w:ascii="Arial" w:cs="Arial" w:eastAsia="Arial" w:hAnsi="Arial"/>
          <w:sz w:val="17"/>
          <w:szCs w:val="17"/>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The Company is not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this Agreement in accordance with the terms hereof, other than (i) filings required by applicable state securities laws, (ii) the filing of any requisite notices and/or application(s) to the Principal Market for the issuance and sale of the Common Stock and the listing of the Common Stock for trading or quotation, as the case may be, thereon in the time and manner required thereby, (iii) those that have been made or obtained prior to the date of this Agreement, (iv) filings required under the Securities Act or the Securities Exchange Act of 1934, as amended (the “</w:t>
      </w:r>
      <w:r>
        <w:rPr>
          <w:rFonts w:ascii="Arial" w:cs="Arial" w:eastAsia="Arial" w:hAnsi="Arial"/>
          <w:sz w:val="21"/>
          <w:szCs w:val="21"/>
          <w:u w:val="single" w:color="auto"/>
          <w:color w:val="auto"/>
        </w:rPr>
        <w:t>Exchange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 All consents, authorizations, orders, filings and registrations which the Company is required to obtain pursuant to the preceding sentence have been obtained or effected or will be obtained or effected on or prior to, and will be in full force and effect on, the Closing Date. The issuance by the Company of the Shares shall not have the effect of delisting or suspending the Common Stock from the Principal Market.</w:t>
      </w:r>
    </w:p>
    <w:p>
      <w:pPr>
        <w:spacing w:after="0" w:line="226" w:lineRule="exact"/>
        <w:rPr>
          <w:rFonts w:ascii="Arial" w:cs="Arial" w:eastAsia="Arial" w:hAnsi="Arial"/>
          <w:sz w:val="17"/>
          <w:szCs w:val="17"/>
          <w:color w:val="auto"/>
        </w:rPr>
      </w:pPr>
    </w:p>
    <w:p>
      <w:pPr>
        <w:jc w:val="both"/>
        <w:ind w:firstLine="1305"/>
        <w:spacing w:after="0" w:line="254" w:lineRule="auto"/>
        <w:tabs>
          <w:tab w:leader="none" w:pos="2144"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The issuance of the Shares has been duly authorized and, upon issuance in accordance with the terms of this Agreement, the Shares will be validly issued, fully paid and nonassessable and free from all Liens with respect to the issue thereof, with the holders of the Common Stock being entitled to all rights accorded to a holder of Common Stock.</w:t>
      </w:r>
    </w:p>
    <w:p>
      <w:pPr>
        <w:spacing w:after="0" w:line="225" w:lineRule="exact"/>
        <w:rPr>
          <w:rFonts w:ascii="Arial" w:cs="Arial" w:eastAsia="Arial" w:hAnsi="Arial"/>
          <w:sz w:val="18"/>
          <w:szCs w:val="18"/>
          <w:color w:val="auto"/>
        </w:rPr>
      </w:pPr>
    </w:p>
    <w:p>
      <w:pPr>
        <w:jc w:val="both"/>
        <w:ind w:firstLine="1305"/>
        <w:spacing w:after="0" w:line="247" w:lineRule="auto"/>
        <w:tabs>
          <w:tab w:leader="none" w:pos="2125"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No Placement Agents and Financial Advisors</w:t>
      </w:r>
      <w:r>
        <w:rPr>
          <w:rFonts w:ascii="Arial" w:cs="Arial" w:eastAsia="Arial" w:hAnsi="Arial"/>
          <w:sz w:val="22"/>
          <w:szCs w:val="22"/>
          <w:color w:val="auto"/>
        </w:rPr>
        <w:t>. The Company has not engaged any placement agent or financial advisor in connection with the sale of the Shares. No person is or will be entitled to a broker’s, finder’s, investment banker’s, financial advisor’s or similar fee from the Company, or any of its Subsidiaries or controlled Affiliates in connection with this Agreement or any of the transactions contemplated hereby. “Affiliate” shall mean, with respect to a person, any other person that, directly or indirectly, Controls, is Controlled by or is under common Control with such person. The term “Affiliated” has the meaning correlative to the foregoing. “Control,” “Controlled,” or “under common Control with” with respect to any person, means having the ability to direct the management and affairs of such person, whether through the ownership of voting securities or otherwise, and such ability shall be deemed to exist when a person holds a majority of the outstanding voting securities of such person.</w:t>
      </w:r>
    </w:p>
    <w:p>
      <w:pPr>
        <w:spacing w:after="0" w:line="236" w:lineRule="exact"/>
        <w:rPr>
          <w:rFonts w:ascii="Arial" w:cs="Arial" w:eastAsia="Arial" w:hAnsi="Arial"/>
          <w:sz w:val="18"/>
          <w:szCs w:val="18"/>
          <w:color w:val="auto"/>
        </w:rPr>
      </w:pPr>
    </w:p>
    <w:p>
      <w:pPr>
        <w:jc w:val="both"/>
        <w:ind w:firstLine="1305"/>
        <w:spacing w:after="0" w:line="292" w:lineRule="auto"/>
        <w:tabs>
          <w:tab w:leader="none" w:pos="2155" w:val="left"/>
        </w:tabs>
        <w:numPr>
          <w:ilvl w:val="0"/>
          <w:numId w:val="36"/>
        </w:numPr>
        <w:rPr>
          <w:rFonts w:ascii="Arial" w:cs="Arial" w:eastAsia="Arial" w:hAnsi="Arial"/>
          <w:sz w:val="16"/>
          <w:szCs w:val="16"/>
          <w:color w:val="auto"/>
        </w:rPr>
      </w:pPr>
      <w:r>
        <w:rPr>
          <w:rFonts w:ascii="Arial" w:cs="Arial" w:eastAsia="Arial" w:hAnsi="Arial"/>
          <w:sz w:val="19"/>
          <w:szCs w:val="19"/>
          <w:u w:val="single" w:color="auto"/>
          <w:color w:val="auto"/>
        </w:rPr>
        <w:t>Certain Securities Law Matters</w:t>
      </w:r>
      <w:r>
        <w:rPr>
          <w:rFonts w:ascii="Arial" w:cs="Arial" w:eastAsia="Arial" w:hAnsi="Arial"/>
          <w:sz w:val="19"/>
          <w:szCs w:val="19"/>
          <w:color w:val="auto"/>
        </w:rPr>
        <w:t>. Assuming the truth and accuracy of, and such Holder’s compliance with, the representations, warranties, agreements, acknowledgements and understandings of the Holder set forth herein in Section 2(c) through (e): (i) the Shares may be issued to the Holder pursuant to this Agreement without registration under the Securities Act pursuant to the exemption from registration provided by Section 3(a)(9) thereof; (ii) the Shares will assume the character of the Series B Notes (i.e., restricted or non-restricted) for purposes of their ability to be resold by the Holder; (iii) that, with respect to Series B Notes that are “restricted securities” under Rule 144, the Holder will be entitled to tack the holding period of its Series B Notes to the holding period of the Shares issued to such Holder in exchange for such Series B Notes for purposes of Rule 144 promulgated under the Securities Act; and (iv) the Shares will be issued without a restrictive legend.</w:t>
      </w:r>
    </w:p>
    <w:p>
      <w:pPr>
        <w:spacing w:after="0" w:line="196" w:lineRule="exact"/>
        <w:rPr>
          <w:rFonts w:ascii="Arial" w:cs="Arial" w:eastAsia="Arial" w:hAnsi="Arial"/>
          <w:sz w:val="16"/>
          <w:szCs w:val="16"/>
          <w:color w:val="auto"/>
        </w:rPr>
      </w:pPr>
    </w:p>
    <w:p>
      <w:pPr>
        <w:jc w:val="both"/>
        <w:ind w:firstLine="1305"/>
        <w:spacing w:after="0" w:line="260" w:lineRule="auto"/>
        <w:tabs>
          <w:tab w:leader="none" w:pos="2155"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No Integrated Offering</w:t>
      </w:r>
      <w:r>
        <w:rPr>
          <w:rFonts w:ascii="Arial" w:cs="Arial" w:eastAsia="Arial" w:hAnsi="Arial"/>
          <w:sz w:val="22"/>
          <w:szCs w:val="22"/>
          <w:color w:val="auto"/>
        </w:rPr>
        <w:t>. None of the Company, its Subsidiaries, any of their controlled Affiliates, and any person acting on their behalf has, directly or indirectly, made, or will contemporaneously make, any offers or sales of any security or solicited or will contemporaneously solicit any offers to buy any</w:t>
      </w:r>
    </w:p>
    <w:p>
      <w:pPr>
        <w:sectPr>
          <w:pgSz w:w="11900" w:h="16838" w:orient="portrait"/>
          <w:cols w:equalWidth="0" w:num="1">
            <w:col w:w="11420"/>
          </w:cols>
          <w:pgMar w:left="240" w:top="591"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21"/>
          <w:szCs w:val="21"/>
          <w:color w:val="auto"/>
        </w:rPr>
        <w:t>security, under circumstances that would require registration of any of the Shares under the Securities Act or cause this offering of the Shares to be integrated with prior or contemporaneous offerings by the Company for purposes of the Securities Act or any applicable stockholder approval provisions, including, without limitation, under the rules and regulations of the Principal Market. None of the Company, its Subsidiaries, their controlled Affiliates and any person acting on their behalf will take any action or steps referred to in the preceding sentence that would (i) require registration of any of the Shares under the Securities Act, (ii) cause the offering of the Shares to be integrated with other offerings in violation of the Securities Act or (iii) cause the sale and issuance of the Shares to be subject to any stockholder approval requirement, including, without limitation, under the rules and regulations of the Principal Market.</w:t>
      </w:r>
    </w:p>
    <w:p>
      <w:pPr>
        <w:spacing w:after="0" w:line="225" w:lineRule="exact"/>
        <w:rPr>
          <w:sz w:val="20"/>
          <w:szCs w:val="20"/>
          <w:color w:val="auto"/>
        </w:rPr>
      </w:pPr>
    </w:p>
    <w:p>
      <w:pPr>
        <w:jc w:val="both"/>
        <w:ind w:firstLine="1305"/>
        <w:spacing w:after="0" w:line="284" w:lineRule="auto"/>
        <w:tabs>
          <w:tab w:leader="none" w:pos="2115" w:val="left"/>
        </w:tabs>
        <w:numPr>
          <w:ilvl w:val="1"/>
          <w:numId w:val="37"/>
        </w:numPr>
        <w:rPr>
          <w:rFonts w:ascii="Arial" w:cs="Arial" w:eastAsia="Arial" w:hAnsi="Arial"/>
          <w:sz w:val="16"/>
          <w:szCs w:val="16"/>
          <w:color w:val="auto"/>
        </w:rPr>
      </w:pPr>
      <w:r>
        <w:rPr>
          <w:rFonts w:ascii="Arial" w:cs="Arial" w:eastAsia="Arial" w:hAnsi="Arial"/>
          <w:sz w:val="19"/>
          <w:szCs w:val="19"/>
          <w:u w:val="single" w:color="auto"/>
          <w:color w:val="auto"/>
        </w:rPr>
        <w:t>SEC Documents; Financial Statements</w:t>
      </w:r>
      <w:r>
        <w:rPr>
          <w:rFonts w:ascii="Arial" w:cs="Arial" w:eastAsia="Arial" w:hAnsi="Arial"/>
          <w:sz w:val="19"/>
          <w:szCs w:val="19"/>
          <w:color w:val="auto"/>
        </w:rPr>
        <w:t>. Since January 1, 2014, the Company has timely filed all reports, schedules, forms, statements and other documents required to be filed by it with the SEC pursuant to the reporting requirements of the Exchange Act (all of the foregoing filed prior to the date hereof or prior to the date of the Closing, and all exhibits included therein and financial statements and schedules thereto and documents incorporated by reference therein, as amended and supplemented to the date hereof, are hereinafter collectively referred to as the “</w:t>
      </w:r>
      <w:r>
        <w:rPr>
          <w:rFonts w:ascii="Arial" w:cs="Arial" w:eastAsia="Arial" w:hAnsi="Arial"/>
          <w:sz w:val="19"/>
          <w:szCs w:val="19"/>
          <w:u w:val="single" w:color="auto"/>
          <w:color w:val="auto"/>
        </w:rPr>
        <w:t>SEC Documents</w:t>
      </w:r>
      <w:r>
        <w:rPr>
          <w:rFonts w:ascii="Arial" w:cs="Arial" w:eastAsia="Arial" w:hAnsi="Arial"/>
          <w:sz w:val="19"/>
          <w:szCs w:val="19"/>
          <w:color w:val="auto"/>
        </w:rPr>
        <w:t>”).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and there has been no material adverse change since the filing.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in the United States of America, consistently applied, during the periods involved (except</w:t>
      </w:r>
    </w:p>
    <w:p>
      <w:pPr>
        <w:spacing w:after="0" w:line="6" w:lineRule="exact"/>
        <w:rPr>
          <w:rFonts w:ascii="Arial" w:cs="Arial" w:eastAsia="Arial" w:hAnsi="Arial"/>
          <w:sz w:val="16"/>
          <w:szCs w:val="16"/>
          <w:color w:val="auto"/>
        </w:rPr>
      </w:pPr>
    </w:p>
    <w:p>
      <w:pPr>
        <w:jc w:val="both"/>
        <w:ind w:firstLine="8"/>
        <w:spacing w:after="0" w:line="260" w:lineRule="auto"/>
        <w:tabs>
          <w:tab w:leader="none" w:pos="305" w:val="left"/>
        </w:tabs>
        <w:numPr>
          <w:ilvl w:val="0"/>
          <w:numId w:val="38"/>
        </w:numPr>
        <w:rPr>
          <w:rFonts w:ascii="Arial" w:cs="Arial" w:eastAsia="Arial" w:hAnsi="Arial"/>
          <w:sz w:val="21"/>
          <w:szCs w:val="21"/>
          <w:color w:val="auto"/>
        </w:rPr>
      </w:pPr>
      <w:r>
        <w:rPr>
          <w:rFonts w:ascii="Arial" w:cs="Arial" w:eastAsia="Arial" w:hAnsi="Arial"/>
          <w:sz w:val="21"/>
          <w:szCs w:val="21"/>
          <w:color w:val="auto"/>
        </w:rPr>
        <w:t>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w:t>
      </w:r>
    </w:p>
    <w:p>
      <w:pPr>
        <w:spacing w:after="0" w:line="218" w:lineRule="exact"/>
        <w:rPr>
          <w:rFonts w:ascii="Arial" w:cs="Arial" w:eastAsia="Arial" w:hAnsi="Arial"/>
          <w:sz w:val="21"/>
          <w:szCs w:val="21"/>
          <w:color w:val="auto"/>
        </w:rPr>
      </w:pPr>
    </w:p>
    <w:p>
      <w:pPr>
        <w:jc w:val="both"/>
        <w:ind w:firstLine="1305"/>
        <w:spacing w:after="0" w:line="288" w:lineRule="auto"/>
        <w:tabs>
          <w:tab w:leader="none" w:pos="2115" w:val="left"/>
        </w:tabs>
        <w:numPr>
          <w:ilvl w:val="1"/>
          <w:numId w:val="38"/>
        </w:numPr>
        <w:rPr>
          <w:rFonts w:ascii="Arial" w:cs="Arial" w:eastAsia="Arial" w:hAnsi="Arial"/>
          <w:sz w:val="16"/>
          <w:szCs w:val="16"/>
          <w:color w:val="auto"/>
        </w:rPr>
      </w:pPr>
      <w:r>
        <w:rPr>
          <w:rFonts w:ascii="Arial" w:cs="Arial" w:eastAsia="Arial" w:hAnsi="Arial"/>
          <w:sz w:val="19"/>
          <w:szCs w:val="19"/>
          <w:u w:val="single" w:color="auto"/>
          <w:color w:val="auto"/>
        </w:rPr>
        <w:t>Equity Capitalization</w:t>
      </w:r>
      <w:r>
        <w:rPr>
          <w:rFonts w:ascii="Arial" w:cs="Arial" w:eastAsia="Arial" w:hAnsi="Arial"/>
          <w:sz w:val="19"/>
          <w:szCs w:val="19"/>
          <w:color w:val="auto"/>
        </w:rPr>
        <w:t>. As of March 23, 2015, the authorized capital stock of the Company consists of (i): 95,000,000 shares of Common Stock, of which, as of the date hereof, 31,957,996 shares are issued and outstanding, 3,062,623 shares are reserved for issuance pursuant to for future equity-based awards under the Company’s employee equity incentive compensation plans and 1,014,568 shares are reserved for issuance pursuant to issued and outstanding securities that are exercisable or exchangeable for, or convertible into, shares of Common Stock (including the Series B Notes), and (ii) 5,000,000 shares of preferred stock, par value $1.00 per share, of which, as of the date hereof, one share is issued and outstanding and designated as Series A Voting Preferred Stock. Except as disclosed or described in the SEC Documents, there are no outstanding options, warrants, scrip, rights to subscribe to, calls or commitments of any character whatsoever relating to, or securities or rights convertible into, or exercisable or exchangeable for, any shares of capital stock of the Company, or contracts, commitments, understandings or arrangements by which the Company or any of its Subsidiaries is or may become bound to issue additional shares of capital stock of the Company (except for agreements entered into on or after the date hereof to issue Common Stock in exchange for Series B Notes) or options, warrants, scrip, rights to subscribe to, calls or commitments of any character whatsoever relating to, or securities or rights convertible into, or exercisable or exchangeable for, any shares of capital stock of the Company.</w:t>
      </w:r>
    </w:p>
    <w:p>
      <w:pPr>
        <w:sectPr>
          <w:pgSz w:w="11900" w:h="16838" w:orient="portrait"/>
          <w:cols w:equalWidth="0" w:num="1">
            <w:col w:w="11420"/>
          </w:cols>
          <w:pgMar w:left="240" w:top="591" w:right="239" w:bottom="1440" w:gutter="0" w:footer="0" w:header="0"/>
        </w:sectPr>
      </w:pPr>
    </w:p>
    <w:bookmarkStart w:id="37" w:name="page38"/>
    <w:bookmarkEnd w:id="37"/>
    <w:p>
      <w:pPr>
        <w:ind w:left="1440" w:hanging="784"/>
        <w:spacing w:after="0"/>
        <w:tabs>
          <w:tab w:leader="none" w:pos="1440" w:val="left"/>
        </w:tabs>
        <w:numPr>
          <w:ilvl w:val="0"/>
          <w:numId w:val="39"/>
        </w:numPr>
        <w:rPr>
          <w:rFonts w:ascii="Arial" w:cs="Arial" w:eastAsia="Arial" w:hAnsi="Arial"/>
          <w:sz w:val="18"/>
          <w:szCs w:val="18"/>
          <w:color w:val="auto"/>
        </w:rPr>
      </w:pPr>
      <w:r>
        <w:rPr>
          <w:rFonts w:ascii="Arial" w:cs="Arial" w:eastAsia="Arial" w:hAnsi="Arial"/>
          <w:sz w:val="22"/>
          <w:szCs w:val="22"/>
          <w:u w:val="single" w:color="auto"/>
          <w:color w:val="auto"/>
        </w:rPr>
        <w:t>CONDITIONS TO THE OBLIGATIONS OF THE COMPANY HEREUNDER.</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obligations of the Company hereunder are subject to the satisfaction of each of the following conditions; provided, that the failure of a condition to be met as a result of the Company’s failure to satisfy its covenants in Section 4 hereof shall be deemed to be a waiver of such condition by such the Company:</w:t>
      </w:r>
    </w:p>
    <w:p>
      <w:pPr>
        <w:spacing w:after="0" w:line="228" w:lineRule="exact"/>
        <w:rPr>
          <w:sz w:val="20"/>
          <w:szCs w:val="20"/>
          <w:color w:val="auto"/>
        </w:rPr>
      </w:pPr>
    </w:p>
    <w:p>
      <w:pPr>
        <w:jc w:val="both"/>
        <w:ind w:firstLine="1305"/>
        <w:spacing w:after="0" w:line="266" w:lineRule="auto"/>
        <w:tabs>
          <w:tab w:leader="none" w:pos="2144" w:val="left"/>
        </w:tabs>
        <w:numPr>
          <w:ilvl w:val="1"/>
          <w:numId w:val="40"/>
        </w:numPr>
        <w:rPr>
          <w:rFonts w:ascii="Arial" w:cs="Arial" w:eastAsia="Arial" w:hAnsi="Arial"/>
          <w:sz w:val="17"/>
          <w:szCs w:val="17"/>
          <w:color w:val="auto"/>
        </w:rPr>
      </w:pPr>
      <w:r>
        <w:rPr>
          <w:rFonts w:ascii="Arial" w:cs="Arial" w:eastAsia="Arial" w:hAnsi="Arial"/>
          <w:sz w:val="21"/>
          <w:szCs w:val="21"/>
          <w:color w:val="auto"/>
        </w:rPr>
        <w:t>The representations and warranties of the Holders shall be true and correct in all material respects as of the date when made and as of the Closing Date as though made at that time (except for representations and warranties that speak as of a specific date, which shall be true and correct as of such specified date), and the Holders shall have performed, satisfied and complied in all material respects with the covenants, agreements and conditions required by this Agreement to be performed, satisfied or complied with by such Holders at or prior to the Closing Date.</w:t>
      </w:r>
    </w:p>
    <w:p>
      <w:pPr>
        <w:spacing w:after="0" w:line="214" w:lineRule="exact"/>
        <w:rPr>
          <w:rFonts w:ascii="Arial" w:cs="Arial" w:eastAsia="Arial" w:hAnsi="Arial"/>
          <w:sz w:val="17"/>
          <w:szCs w:val="17"/>
          <w:color w:val="auto"/>
        </w:rPr>
      </w:pPr>
    </w:p>
    <w:p>
      <w:pPr>
        <w:jc w:val="both"/>
        <w:ind w:firstLine="1305"/>
        <w:spacing w:after="0" w:line="254" w:lineRule="auto"/>
        <w:tabs>
          <w:tab w:leader="none" w:pos="2155" w:val="left"/>
        </w:tabs>
        <w:numPr>
          <w:ilvl w:val="1"/>
          <w:numId w:val="40"/>
        </w:numPr>
        <w:rPr>
          <w:rFonts w:ascii="Arial" w:cs="Arial" w:eastAsia="Arial" w:hAnsi="Arial"/>
          <w:sz w:val="18"/>
          <w:szCs w:val="18"/>
          <w:color w:val="auto"/>
        </w:rPr>
      </w:pPr>
      <w:r>
        <w:rPr>
          <w:rFonts w:ascii="Arial" w:cs="Arial" w:eastAsia="Arial" w:hAnsi="Arial"/>
          <w:sz w:val="22"/>
          <w:szCs w:val="22"/>
          <w:color w:val="auto"/>
        </w:rPr>
        <w:t>All required governmental, regulatory (including, if applicable, under the Hart-Scott-Rodino Antitrust Improvements Act of 1976, as amended) and third party consents and approvals, if any, necessary for the consummation of the transactions contemplated by this Agreement (the “</w:t>
      </w:r>
      <w:r>
        <w:rPr>
          <w:rFonts w:ascii="Arial" w:cs="Arial" w:eastAsia="Arial" w:hAnsi="Arial"/>
          <w:sz w:val="22"/>
          <w:szCs w:val="22"/>
          <w:u w:val="single" w:color="auto"/>
          <w:color w:val="auto"/>
        </w:rPr>
        <w:t>Transactions</w:t>
      </w:r>
      <w:r>
        <w:rPr>
          <w:rFonts w:ascii="Arial" w:cs="Arial" w:eastAsia="Arial" w:hAnsi="Arial"/>
          <w:sz w:val="22"/>
          <w:szCs w:val="22"/>
          <w:color w:val="auto"/>
        </w:rPr>
        <w:t>”), including, without limitation, the sale of the Shares, shall have been obtained.</w:t>
      </w:r>
    </w:p>
    <w:p>
      <w:pPr>
        <w:spacing w:after="0" w:line="225" w:lineRule="exact"/>
        <w:rPr>
          <w:rFonts w:ascii="Arial" w:cs="Arial" w:eastAsia="Arial" w:hAnsi="Arial"/>
          <w:sz w:val="18"/>
          <w:szCs w:val="18"/>
          <w:color w:val="auto"/>
        </w:rPr>
      </w:pPr>
    </w:p>
    <w:p>
      <w:pPr>
        <w:jc w:val="both"/>
        <w:ind w:firstLine="1305"/>
        <w:spacing w:after="0" w:line="248"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22"/>
          <w:szCs w:val="22"/>
          <w:color w:val="auto"/>
        </w:rPr>
        <w:t>There shall not have been instituted or be pending any action, proceeding or investigation (whether formal or informal), and there shall not have been any material adverse development to any action or proceeding currently instituted or pending, before or by any court, governmental, regulatory or administrative agency or instrumentality in connection with the transactions contemplated by this Agreement that (a) is, or is reasonably likely to be, materially adverse to the Company’s business, operations, properties, condition (financial or otherwise), income, assets, liabilities or prospects, (b) would prohibit, prevent or restrict consummation of the Transactions or (c) would materially impair the contemplated benefits to the Company or the Holder of the Transactions.</w:t>
      </w:r>
    </w:p>
    <w:p>
      <w:pPr>
        <w:spacing w:after="0" w:line="236" w:lineRule="exact"/>
        <w:rPr>
          <w:rFonts w:ascii="Arial" w:cs="Arial" w:eastAsia="Arial" w:hAnsi="Arial"/>
          <w:sz w:val="18"/>
          <w:szCs w:val="18"/>
          <w:color w:val="auto"/>
        </w:rPr>
      </w:pPr>
    </w:p>
    <w:p>
      <w:pPr>
        <w:jc w:val="both"/>
        <w:ind w:firstLine="1305"/>
        <w:spacing w:after="0" w:line="251" w:lineRule="auto"/>
        <w:tabs>
          <w:tab w:leader="none" w:pos="2155" w:val="left"/>
        </w:tabs>
        <w:numPr>
          <w:ilvl w:val="1"/>
          <w:numId w:val="40"/>
        </w:numPr>
        <w:rPr>
          <w:rFonts w:ascii="Arial" w:cs="Arial" w:eastAsia="Arial" w:hAnsi="Arial"/>
          <w:sz w:val="18"/>
          <w:szCs w:val="18"/>
          <w:color w:val="auto"/>
        </w:rPr>
      </w:pPr>
      <w:r>
        <w:rPr>
          <w:rFonts w:ascii="Arial" w:cs="Arial" w:eastAsia="Arial" w:hAnsi="Arial"/>
          <w:sz w:val="22"/>
          <w:szCs w:val="22"/>
          <w:color w:val="auto"/>
        </w:rPr>
        <w:t>No order, statute, rule, regulation, executive order, stay, decree, judgment or injunction shall have been enacted, entered, issued, promulgated, enforced or deemed applicable by any court or governmental, regulatory or administrative agency or instrumentality that either (a) would prohibit, prevent or restrict consummation of the transactions contemplated by this Agreement or (b) is, or is reasonably likely to be, materially adverse to the Company’s business, operations, properties, condition (financial or otherwise), assets, liabilities or prospects.</w:t>
      </w:r>
    </w:p>
    <w:p>
      <w:pPr>
        <w:spacing w:after="0" w:line="230" w:lineRule="exact"/>
        <w:rPr>
          <w:rFonts w:ascii="Arial" w:cs="Arial" w:eastAsia="Arial" w:hAnsi="Arial"/>
          <w:sz w:val="18"/>
          <w:szCs w:val="18"/>
          <w:color w:val="auto"/>
        </w:rPr>
      </w:pPr>
    </w:p>
    <w:p>
      <w:pPr>
        <w:jc w:val="both"/>
        <w:ind w:firstLine="1305"/>
        <w:spacing w:after="0" w:line="254"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22"/>
          <w:szCs w:val="22"/>
          <w:color w:val="auto"/>
        </w:rPr>
        <w:t>The trustee (or persons performing a similar function) under the indenture relating to the Series B Notes shall not have objected in any respect to or taken action that could, in the Company’s sole judgment, adversely affect the consummation of the Transactions and shall not have taken any action that challenges the validity or effectiveness of the procedures used by the Company in connection with the Transactions.</w:t>
      </w:r>
    </w:p>
    <w:p>
      <w:pPr>
        <w:spacing w:after="0" w:line="225" w:lineRule="exact"/>
        <w:rPr>
          <w:rFonts w:ascii="Arial" w:cs="Arial" w:eastAsia="Arial" w:hAnsi="Arial"/>
          <w:sz w:val="18"/>
          <w:szCs w:val="18"/>
          <w:color w:val="auto"/>
        </w:rPr>
      </w:pPr>
    </w:p>
    <w:p>
      <w:pPr>
        <w:ind w:left="1440" w:hanging="784"/>
        <w:spacing w:after="0"/>
        <w:tabs>
          <w:tab w:leader="none" w:pos="1440"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CONDITIONS TO THE OBLIGATIONS OF THE HOLDERS HEREUNDER.</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obligations of the Holders hereunder are subject to the satisfaction of each of the following conditions; provided, that the failure of a condition to be met as a result of Holder’s failure to satisfy its covenants in Section 4 hereof shall be deemed to be a waiver of such condition by such Holder:</w:t>
      </w:r>
    </w:p>
    <w:p>
      <w:pPr>
        <w:spacing w:after="0" w:line="188" w:lineRule="exact"/>
        <w:rPr>
          <w:sz w:val="20"/>
          <w:szCs w:val="20"/>
          <w:color w:val="auto"/>
        </w:rPr>
      </w:pPr>
    </w:p>
    <w:p>
      <w:pPr>
        <w:jc w:val="both"/>
        <w:ind w:firstLine="1305"/>
        <w:spacing w:after="0" w:line="251" w:lineRule="auto"/>
        <w:tabs>
          <w:tab w:leader="none" w:pos="2144" w:val="left"/>
        </w:tabs>
        <w:numPr>
          <w:ilvl w:val="0"/>
          <w:numId w:val="42"/>
        </w:numPr>
        <w:rPr>
          <w:rFonts w:ascii="Arial" w:cs="Arial" w:eastAsia="Arial" w:hAnsi="Arial"/>
          <w:sz w:val="18"/>
          <w:szCs w:val="18"/>
          <w:color w:val="auto"/>
        </w:rPr>
      </w:pPr>
      <w:r>
        <w:rPr>
          <w:rFonts w:ascii="Arial" w:cs="Arial" w:eastAsia="Arial" w:hAnsi="Arial"/>
          <w:sz w:val="22"/>
          <w:szCs w:val="22"/>
          <w:color w:val="auto"/>
        </w:rPr>
        <w:t>The representations and warranties of the Company shall be true and correct in all material respects (except for any representations or warranties already qualified by materiality or Material Adverse Effect, in which case such representations and warranties shall be true and correct in all respects) as of the date when made and as of the Closing Date as though made at that time (except for representations and warranties that speak as of a specific date which shall be true and correct as of such specified date) and</w:t>
      </w:r>
    </w:p>
    <w:p>
      <w:pPr>
        <w:sectPr>
          <w:pgSz w:w="11900" w:h="16838" w:orient="portrait"/>
          <w:cols w:equalWidth="0" w:num="1">
            <w:col w:w="11420"/>
          </w:cols>
          <w:pgMar w:left="240" w:top="591" w:right="239" w:bottom="1440" w:gutter="0" w:footer="0" w:header="0"/>
        </w:sectPr>
      </w:pPr>
    </w:p>
    <w:bookmarkStart w:id="38" w:name="page39"/>
    <w:bookmarkEnd w:id="38"/>
    <w:p>
      <w:pPr>
        <w:spacing w:after="0" w:line="343" w:lineRule="auto"/>
        <w:rPr>
          <w:sz w:val="20"/>
          <w:szCs w:val="20"/>
          <w:color w:val="auto"/>
        </w:rPr>
      </w:pPr>
      <w:r>
        <w:rPr>
          <w:rFonts w:ascii="Arial" w:cs="Arial" w:eastAsia="Arial" w:hAnsi="Arial"/>
          <w:sz w:val="19"/>
          <w:szCs w:val="19"/>
          <w:color w:val="auto"/>
        </w:rPr>
        <w:t>the Company shall have performed, satisfied and complied in all material respects with the covenants, agreements and conditions required by this Agreement to be performed, satisfied or complied with by the Company at or prior to the Closing Date.</w:t>
      </w:r>
    </w:p>
    <w:p>
      <w:pPr>
        <w:spacing w:after="0" w:line="145" w:lineRule="exact"/>
        <w:rPr>
          <w:sz w:val="20"/>
          <w:szCs w:val="20"/>
          <w:color w:val="auto"/>
        </w:rPr>
      </w:pPr>
    </w:p>
    <w:p>
      <w:pPr>
        <w:jc w:val="both"/>
        <w:ind w:right="20" w:firstLine="1305"/>
        <w:spacing w:after="0" w:line="320" w:lineRule="auto"/>
        <w:tabs>
          <w:tab w:leader="none" w:pos="2155" w:val="left"/>
        </w:tabs>
        <w:numPr>
          <w:ilvl w:val="1"/>
          <w:numId w:val="43"/>
        </w:numPr>
        <w:rPr>
          <w:rFonts w:ascii="Arial" w:cs="Arial" w:eastAsia="Arial" w:hAnsi="Arial"/>
          <w:sz w:val="16"/>
          <w:szCs w:val="16"/>
          <w:color w:val="auto"/>
        </w:rPr>
      </w:pPr>
      <w:r>
        <w:rPr>
          <w:rFonts w:ascii="Arial" w:cs="Arial" w:eastAsia="Arial" w:hAnsi="Arial"/>
          <w:sz w:val="19"/>
          <w:szCs w:val="19"/>
          <w:color w:val="auto"/>
        </w:rPr>
        <w:t>The issuance and sale of the Shares by the Company pursuant to this Agreement shall be exempt from registration under the Securities Act, assuming the truth and accuracy of, and such Holder’s compliance with, the representations, warranties, agreements, acknowledgments and understandings of such Holder set forth herein in Section 2(c) through (e).</w:t>
      </w:r>
    </w:p>
    <w:p>
      <w:pPr>
        <w:spacing w:after="0" w:line="165" w:lineRule="exact"/>
        <w:rPr>
          <w:rFonts w:ascii="Arial" w:cs="Arial" w:eastAsia="Arial" w:hAnsi="Arial"/>
          <w:sz w:val="16"/>
          <w:szCs w:val="16"/>
          <w:color w:val="auto"/>
        </w:rPr>
      </w:pPr>
    </w:p>
    <w:p>
      <w:pPr>
        <w:jc w:val="both"/>
        <w:ind w:firstLine="1305"/>
        <w:spacing w:after="0" w:line="262" w:lineRule="auto"/>
        <w:tabs>
          <w:tab w:leader="none" w:pos="2144" w:val="left"/>
        </w:tabs>
        <w:numPr>
          <w:ilvl w:val="1"/>
          <w:numId w:val="43"/>
        </w:numPr>
        <w:rPr>
          <w:rFonts w:ascii="Arial" w:cs="Arial" w:eastAsia="Arial" w:hAnsi="Arial"/>
          <w:sz w:val="17"/>
          <w:szCs w:val="17"/>
          <w:color w:val="auto"/>
        </w:rPr>
      </w:pPr>
      <w:r>
        <w:rPr>
          <w:rFonts w:ascii="Arial" w:cs="Arial" w:eastAsia="Arial" w:hAnsi="Arial"/>
          <w:sz w:val="21"/>
          <w:szCs w:val="21"/>
          <w:color w:val="auto"/>
        </w:rPr>
        <w:t>There shall not have been instituted or be pending any action, proceeding or investigation (whether formal or informal), and there shall not have been any material adverse development to any action or proceeding currently instituted or pending, before or by any court, governmental, regulatory or administrative agency or instrumentality in connection with the transactions contemplated by this Agreement that (a) is, or is reasonably likely to be, materially adverse to the Company’s business, operations, properties, condition (financial or otherwise), income, assets, liabilities or prospects, (b) would prohibit, prevent or restrict consummation of the Transactions or (c) would materially impair the contemplated benefits to the Company or the Holder of the transactions contemplated by this Agreement.</w:t>
      </w:r>
    </w:p>
    <w:p>
      <w:pPr>
        <w:spacing w:after="0" w:line="220" w:lineRule="exact"/>
        <w:rPr>
          <w:rFonts w:ascii="Arial" w:cs="Arial" w:eastAsia="Arial" w:hAnsi="Arial"/>
          <w:sz w:val="17"/>
          <w:szCs w:val="17"/>
          <w:color w:val="auto"/>
        </w:rPr>
      </w:pPr>
    </w:p>
    <w:p>
      <w:pPr>
        <w:jc w:val="both"/>
        <w:ind w:firstLine="1305"/>
        <w:spacing w:after="0" w:line="251" w:lineRule="auto"/>
        <w:tabs>
          <w:tab w:leader="none" w:pos="2229" w:val="left"/>
        </w:tabs>
        <w:numPr>
          <w:ilvl w:val="1"/>
          <w:numId w:val="43"/>
        </w:numPr>
        <w:rPr>
          <w:rFonts w:ascii="Arial" w:cs="Arial" w:eastAsia="Arial" w:hAnsi="Arial"/>
          <w:sz w:val="18"/>
          <w:szCs w:val="18"/>
          <w:color w:val="auto"/>
        </w:rPr>
      </w:pPr>
      <w:r>
        <w:rPr>
          <w:rFonts w:ascii="Arial" w:cs="Arial" w:eastAsia="Arial" w:hAnsi="Arial"/>
          <w:sz w:val="22"/>
          <w:szCs w:val="22"/>
          <w:color w:val="auto"/>
        </w:rPr>
        <w:t>No order, statute, rule, regulation, executive order, stay, decree, judgment or injunction shall have been enacted, entered, issued, promulgated, enforced or deemed applicable by any court or governmental, regulatory or administrative agency or instrumentality that either (a) would prohibit, prevent or restrict consummation of Transactions or (b) is, or is reasonably likely to be, materially adverse to the Company’s business, operations, properties, condition (financial or otherwise), assets, liabilities or prospects.</w:t>
      </w:r>
    </w:p>
    <w:p>
      <w:pPr>
        <w:spacing w:after="0" w:line="230" w:lineRule="exact"/>
        <w:rPr>
          <w:rFonts w:ascii="Arial" w:cs="Arial" w:eastAsia="Arial" w:hAnsi="Arial"/>
          <w:sz w:val="18"/>
          <w:szCs w:val="18"/>
          <w:color w:val="auto"/>
        </w:rPr>
      </w:pPr>
    </w:p>
    <w:p>
      <w:pPr>
        <w:ind w:left="1440" w:hanging="784"/>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22"/>
          <w:szCs w:val="22"/>
          <w:u w:val="single" w:color="auto"/>
          <w:color w:val="auto"/>
        </w:rPr>
        <w:t>NOTICES.</w:t>
      </w:r>
    </w:p>
    <w:p>
      <w:pPr>
        <w:spacing w:after="0" w:line="2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YRC Worldwide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10990 Roe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Overland Park, Kansas 66211</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(913) 696-6100</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(913) 696-6116</w:t>
      </w:r>
    </w:p>
    <w:p>
      <w:pPr>
        <w:spacing w:after="0" w:line="17"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Corporate Secretary</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With a copy to (for information purposes only):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Kirkland &amp; Ellis LLP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300 North LaSalle Street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Chicago, Illinois 60654</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(312) 862-2232</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(312) 862-2200</w:t>
      </w:r>
    </w:p>
    <w:p>
      <w:pPr>
        <w:spacing w:after="0" w:line="17"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Dennis M. Myers, P.C.</w:t>
      </w:r>
    </w:p>
    <w:p>
      <w:pPr>
        <w:sectPr>
          <w:pgSz w:w="11900" w:h="16838" w:orient="portrait"/>
          <w:cols w:equalWidth="0" w:num="1">
            <w:col w:w="11420"/>
          </w:cols>
          <w:pgMar w:left="240" w:top="591" w:right="239" w:bottom="1440" w:gutter="0" w:footer="0" w:header="0"/>
        </w:sectPr>
      </w:pPr>
    </w:p>
    <w:bookmarkStart w:id="39" w:name="page40"/>
    <w:bookmarkEnd w:id="39"/>
    <w:p>
      <w:pPr>
        <w:ind w:left="1300"/>
        <w:spacing w:after="0"/>
        <w:rPr>
          <w:sz w:val="20"/>
          <w:szCs w:val="20"/>
          <w:color w:val="auto"/>
        </w:rPr>
      </w:pPr>
      <w:r>
        <w:rPr>
          <w:rFonts w:ascii="Arial" w:cs="Arial" w:eastAsia="Arial" w:hAnsi="Arial"/>
          <w:sz w:val="22"/>
          <w:szCs w:val="22"/>
          <w:color w:val="auto"/>
        </w:rPr>
        <w:t>If to the Holders:</w:t>
      </w:r>
    </w:p>
    <w:p>
      <w:pPr>
        <w:spacing w:after="0" w:line="220" w:lineRule="exact"/>
        <w:rPr>
          <w:sz w:val="20"/>
          <w:szCs w:val="20"/>
          <w:color w:val="auto"/>
        </w:rPr>
      </w:pPr>
    </w:p>
    <w:p>
      <w:pPr>
        <w:ind w:left="1300" w:right="260"/>
        <w:spacing w:after="0" w:line="263" w:lineRule="auto"/>
        <w:rPr>
          <w:sz w:val="20"/>
          <w:szCs w:val="20"/>
          <w:color w:val="auto"/>
        </w:rPr>
      </w:pPr>
      <w:r>
        <w:rPr>
          <w:rFonts w:ascii="Arial" w:cs="Arial" w:eastAsia="Arial" w:hAnsi="Arial"/>
          <w:sz w:val="22"/>
          <w:szCs w:val="22"/>
          <w:color w:val="auto"/>
        </w:rPr>
        <w:t>To the address set forth on Appendix A hereto for each Holder, with copies to such Holder’s representatives as set forth on Appendix A.</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or to such other address, facsimile number and/or email address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50" w:lineRule="exact"/>
        <w:rPr>
          <w:sz w:val="20"/>
          <w:szCs w:val="20"/>
          <w:color w:val="auto"/>
        </w:rPr>
      </w:pP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AMENDMENT.</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Neither this Agreement nor any of the terms hereof may be amended, supplemented, waived or modified except by an instrument in writing signed by each of the parties hereto or, in the case of a waiver, the party against which the enforcement of such waiver is sought.</w:t>
      </w:r>
    </w:p>
    <w:p>
      <w:pPr>
        <w:spacing w:after="0" w:line="188" w:lineRule="exact"/>
        <w:rPr>
          <w:sz w:val="20"/>
          <w:szCs w:val="20"/>
          <w:color w:val="auto"/>
        </w:rPr>
      </w:pPr>
    </w:p>
    <w:p>
      <w:pPr>
        <w:ind w:left="1440" w:hanging="7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GOVERNING LAW; JURY TRIAL.</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Agreement shall be governed by, and construed in accordance with, the laws of the State of New York. EACH PARTY HEREBY IRREVOCABLY WAIVES ANY RIGHT IT MAY HAVE, AND AGREES NOT TO REQUEST, A JURY TRIAL FOR THE ADJUDICATION OF ANY DISPUTE HEREUNDER OR IN CONNECTION WITH OR ARISING OUT OF THIS AGREEMENT OR ANY TRANSACTION CONTEMPLATED HEREBY.</w:t>
      </w:r>
    </w:p>
    <w:p>
      <w:pPr>
        <w:spacing w:after="0" w:line="233" w:lineRule="exact"/>
        <w:rPr>
          <w:sz w:val="20"/>
          <w:szCs w:val="20"/>
          <w:color w:val="auto"/>
        </w:rPr>
      </w:pPr>
    </w:p>
    <w:p>
      <w:pPr>
        <w:ind w:left="1440" w:hanging="784"/>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COUNTERPARTS.</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Agreement may be executed in one or more identical counterparts, all of which shall be considered one and the same agreement and shall become effective when counterparts have been signed by each party and delivered to the other party; provided that a signature provided through facsimile, e-mail or other electronic transmission (including any signature contained in a .PDF or</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.TIF file) shall be considered due execution and shall be binding upon the signatory thereto with the same force and effect as if the signature were an original.</w:t>
      </w:r>
    </w:p>
    <w:p>
      <w:pPr>
        <w:spacing w:after="0" w:line="193" w:lineRule="exact"/>
        <w:rPr>
          <w:sz w:val="20"/>
          <w:szCs w:val="20"/>
          <w:color w:val="auto"/>
        </w:rPr>
      </w:pPr>
    </w:p>
    <w:p>
      <w:pPr>
        <w:ind w:left="1520" w:hanging="864"/>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HEADINGS.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headings of this Agreement are for convenience of reference and shall not form part of, or affect the interpretation of, this Agreement.</w:t>
      </w:r>
    </w:p>
    <w:p>
      <w:pPr>
        <w:spacing w:after="0" w:line="179" w:lineRule="exact"/>
        <w:rPr>
          <w:sz w:val="20"/>
          <w:szCs w:val="20"/>
          <w:color w:val="auto"/>
        </w:rPr>
      </w:pPr>
    </w:p>
    <w:p>
      <w:pPr>
        <w:ind w:left="1520" w:hanging="864"/>
        <w:spacing w:after="0"/>
        <w:tabs>
          <w:tab w:leader="none" w:pos="1520"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SEVERABILITY.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8" w:lineRule="exact"/>
        <w:rPr>
          <w:sz w:val="20"/>
          <w:szCs w:val="20"/>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ENTIRE AGREEMENT.</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Agreement constitutes the entire agreement, and supersede all prior agreements and understandings, both written and oral, between the parties with respect to the subject matter hereof.</w:t>
      </w:r>
    </w:p>
    <w:p>
      <w:pPr>
        <w:spacing w:after="0" w:line="179" w:lineRule="exact"/>
        <w:rPr>
          <w:sz w:val="20"/>
          <w:szCs w:val="20"/>
          <w:color w:val="auto"/>
        </w:rPr>
      </w:pPr>
    </w:p>
    <w:p>
      <w:pPr>
        <w:ind w:left="1520" w:hanging="864"/>
        <w:spacing w:after="0"/>
        <w:tabs>
          <w:tab w:leader="none" w:pos="1520" w:val="left"/>
        </w:tabs>
        <w:numPr>
          <w:ilvl w:val="0"/>
          <w:numId w:val="51"/>
        </w:numPr>
        <w:rPr>
          <w:rFonts w:ascii="Arial" w:cs="Arial" w:eastAsia="Arial" w:hAnsi="Arial"/>
          <w:sz w:val="18"/>
          <w:szCs w:val="18"/>
          <w:color w:val="auto"/>
        </w:rPr>
      </w:pPr>
      <w:r>
        <w:rPr>
          <w:rFonts w:ascii="Arial" w:cs="Arial" w:eastAsia="Arial" w:hAnsi="Arial"/>
          <w:sz w:val="22"/>
          <w:szCs w:val="22"/>
          <w:u w:val="single" w:color="auto"/>
          <w:color w:val="auto"/>
        </w:rPr>
        <w:t>SUCESSOR AND ASSIGNS.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Agreement shall be binding upon and inure to the benefit of the parties and their respective successors and assigns. No purchaser of Shares from any Holder shall be deemed to be a successor merely by reason</w:t>
      </w:r>
    </w:p>
    <w:p>
      <w:pPr>
        <w:sectPr>
          <w:pgSz w:w="11900" w:h="16838" w:orient="portrait"/>
          <w:cols w:equalWidth="0" w:num="1">
            <w:col w:w="11420"/>
          </w:cols>
          <w:pgMar w:left="240" w:top="591" w:right="23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2"/>
          <w:szCs w:val="22"/>
          <w:color w:val="auto"/>
        </w:rPr>
        <w:t>of such purchase. No party hereto shall assign this Agreement or any of its rights or obligations hereunder without the prior written consent of the other parties hereto.</w:t>
      </w:r>
    </w:p>
    <w:p>
      <w:pPr>
        <w:spacing w:after="0" w:line="175" w:lineRule="exact"/>
        <w:rPr>
          <w:sz w:val="20"/>
          <w:szCs w:val="20"/>
          <w:color w:val="auto"/>
        </w:rPr>
      </w:pPr>
    </w:p>
    <w:p>
      <w:pPr>
        <w:ind w:left="1520" w:hanging="864"/>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NO THIRD PARTY BENEFICIARIES.</w:t>
      </w:r>
    </w:p>
    <w:p>
      <w:pPr>
        <w:spacing w:after="0" w:line="22" w:lineRule="exact"/>
        <w:rPr>
          <w:sz w:val="20"/>
          <w:szCs w:val="20"/>
          <w:color w:val="auto"/>
        </w:rPr>
      </w:pPr>
    </w:p>
    <w:p>
      <w:pPr>
        <w:spacing w:after="0" w:line="338" w:lineRule="auto"/>
        <w:rPr>
          <w:sz w:val="20"/>
          <w:szCs w:val="20"/>
          <w:color w:val="auto"/>
        </w:rPr>
      </w:pPr>
      <w:r>
        <w:rPr>
          <w:rFonts w:ascii="Arial" w:cs="Arial" w:eastAsia="Arial" w:hAnsi="Arial"/>
          <w:sz w:val="19"/>
          <w:szCs w:val="19"/>
          <w:color w:val="auto"/>
        </w:rPr>
        <w:t>Except as specifically provided herein, this Agreement is intended for the benefit of the parties hereto and their respective permitted successors and assigns, and is not for the benefit of, nor may any provision hereof be enforced by, any other person.</w:t>
      </w:r>
    </w:p>
    <w:p>
      <w:pPr>
        <w:spacing w:after="0" w:line="109" w:lineRule="exact"/>
        <w:rPr>
          <w:sz w:val="20"/>
          <w:szCs w:val="20"/>
          <w:color w:val="auto"/>
        </w:rPr>
      </w:pPr>
    </w:p>
    <w:p>
      <w:pPr>
        <w:ind w:left="1520" w:hanging="864"/>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22"/>
          <w:szCs w:val="22"/>
          <w:u w:val="single" w:color="auto"/>
          <w:color w:val="auto"/>
        </w:rPr>
        <w:t>SURVIVAL.</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representations and warranties of the Company and the Holders contained herein, and the agreements and covenants set forth herein, shall survive the consummation of the transactions hereunder.</w:t>
      </w:r>
    </w:p>
    <w:p>
      <w:pPr>
        <w:spacing w:after="0" w:line="179" w:lineRule="exact"/>
        <w:rPr>
          <w:sz w:val="20"/>
          <w:szCs w:val="20"/>
          <w:color w:val="auto"/>
        </w:rPr>
      </w:pPr>
    </w:p>
    <w:p>
      <w:pPr>
        <w:ind w:left="1520" w:hanging="864"/>
        <w:spacing w:after="0"/>
        <w:tabs>
          <w:tab w:leader="none" w:pos="152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FURTHER ASSURANCES.</w:t>
      </w:r>
    </w:p>
    <w:p>
      <w:pPr>
        <w:spacing w:after="0" w:line="22"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35" w:lineRule="exact"/>
        <w:rPr>
          <w:sz w:val="20"/>
          <w:szCs w:val="20"/>
          <w:color w:val="auto"/>
        </w:rPr>
      </w:pPr>
    </w:p>
    <w:p>
      <w:pPr>
        <w:ind w:left="1520" w:hanging="864"/>
        <w:spacing w:after="0"/>
        <w:tabs>
          <w:tab w:leader="none" w:pos="1520" w:val="left"/>
        </w:tabs>
        <w:numPr>
          <w:ilvl w:val="0"/>
          <w:numId w:val="55"/>
        </w:numPr>
        <w:rPr>
          <w:rFonts w:ascii="Arial" w:cs="Arial" w:eastAsia="Arial" w:hAnsi="Arial"/>
          <w:sz w:val="18"/>
          <w:szCs w:val="18"/>
          <w:color w:val="auto"/>
        </w:rPr>
      </w:pPr>
      <w:r>
        <w:rPr>
          <w:rFonts w:ascii="Arial" w:cs="Arial" w:eastAsia="Arial" w:hAnsi="Arial"/>
          <w:sz w:val="22"/>
          <w:szCs w:val="22"/>
          <w:u w:val="single" w:color="auto"/>
          <w:color w:val="auto"/>
        </w:rPr>
        <w:t>NO STRICT CONSTRUCTION.</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language used in this Agreement will be deemed to be the language chosen by the parties to express their mutual intent, and no rules of strict construction will be applied against any party.</w:t>
      </w:r>
    </w:p>
    <w:p>
      <w:pPr>
        <w:spacing w:after="0" w:line="179" w:lineRule="exact"/>
        <w:rPr>
          <w:sz w:val="20"/>
          <w:szCs w:val="20"/>
          <w:color w:val="auto"/>
        </w:rPr>
      </w:pPr>
    </w:p>
    <w:p>
      <w:pPr>
        <w:ind w:left="1520" w:hanging="864"/>
        <w:spacing w:after="0"/>
        <w:tabs>
          <w:tab w:leader="none" w:pos="1520" w:val="left"/>
        </w:tabs>
        <w:numPr>
          <w:ilvl w:val="0"/>
          <w:numId w:val="56"/>
        </w:numPr>
        <w:rPr>
          <w:rFonts w:ascii="Arial" w:cs="Arial" w:eastAsia="Arial" w:hAnsi="Arial"/>
          <w:sz w:val="18"/>
          <w:szCs w:val="18"/>
          <w:color w:val="auto"/>
        </w:rPr>
      </w:pPr>
      <w:r>
        <w:rPr>
          <w:rFonts w:ascii="Arial" w:cs="Arial" w:eastAsia="Arial" w:hAnsi="Arial"/>
          <w:sz w:val="22"/>
          <w:szCs w:val="22"/>
          <w:u w:val="single" w:color="auto"/>
          <w:color w:val="auto"/>
        </w:rPr>
        <w:t>SEVERAL OBLIGATIONS.</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Notwithstanding anything in this Agreement to the contrary, each of the representations, warranties, agreements and obligations of any Holder under this Agreement, whether made individually by any such Holder or collectively as one of the Holders, shall be the several representation, warranty, agreement or obligation of each such Holder.</w:t>
      </w:r>
    </w:p>
    <w:p>
      <w:pPr>
        <w:spacing w:after="0" w:line="228" w:lineRule="exact"/>
        <w:rPr>
          <w:sz w:val="20"/>
          <w:szCs w:val="20"/>
          <w:color w:val="auto"/>
        </w:rPr>
      </w:pPr>
    </w:p>
    <w:p>
      <w:pPr>
        <w:ind w:left="1520" w:hanging="864"/>
        <w:spacing w:after="0"/>
        <w:tabs>
          <w:tab w:leader="none" w:pos="1520" w:val="left"/>
        </w:tabs>
        <w:numPr>
          <w:ilvl w:val="0"/>
          <w:numId w:val="57"/>
        </w:numPr>
        <w:rPr>
          <w:rFonts w:ascii="Arial" w:cs="Arial" w:eastAsia="Arial" w:hAnsi="Arial"/>
          <w:sz w:val="18"/>
          <w:szCs w:val="18"/>
          <w:color w:val="auto"/>
        </w:rPr>
      </w:pPr>
      <w:r>
        <w:rPr>
          <w:rFonts w:ascii="Arial" w:cs="Arial" w:eastAsia="Arial" w:hAnsi="Arial"/>
          <w:sz w:val="22"/>
          <w:szCs w:val="22"/>
          <w:u w:val="single" w:color="auto"/>
          <w:color w:val="auto"/>
        </w:rPr>
        <w:t>TERMINATION.</w:t>
      </w:r>
    </w:p>
    <w:p>
      <w:pPr>
        <w:spacing w:after="0" w:line="273" w:lineRule="exact"/>
        <w:rPr>
          <w:rFonts w:ascii="Arial" w:cs="Arial" w:eastAsia="Arial" w:hAnsi="Arial"/>
          <w:sz w:val="18"/>
          <w:szCs w:val="18"/>
          <w:color w:val="auto"/>
        </w:rPr>
      </w:pPr>
    </w:p>
    <w:p>
      <w:pPr>
        <w:jc w:val="both"/>
        <w:ind w:firstLine="1953"/>
        <w:spacing w:after="0" w:line="307" w:lineRule="auto"/>
        <w:tabs>
          <w:tab w:leader="none" w:pos="2793" w:val="left"/>
        </w:tabs>
        <w:numPr>
          <w:ilvl w:val="1"/>
          <w:numId w:val="57"/>
        </w:numPr>
        <w:rPr>
          <w:rFonts w:ascii="Arial" w:cs="Arial" w:eastAsia="Arial" w:hAnsi="Arial"/>
          <w:sz w:val="16"/>
          <w:szCs w:val="16"/>
          <w:color w:val="auto"/>
        </w:rPr>
      </w:pPr>
      <w:r>
        <w:rPr>
          <w:rFonts w:ascii="Arial" w:cs="Arial" w:eastAsia="Arial" w:hAnsi="Arial"/>
          <w:sz w:val="19"/>
          <w:szCs w:val="19"/>
          <w:color w:val="auto"/>
        </w:rPr>
        <w:t>Each Holder may (but shall not be required to) terminate this Agreement in the event that the Closing Date shall not have occurred on or before the earliest of (i) the date that is five (5) business days after the conditions to the obligations of the Company and the Holders set forth in Sections 4 and 5 above, respectively, have been satisfied (or any unsatisfied conditions set forth in such Sections have been waived, as provided herein) and (ii) March 25, 2015.</w:t>
      </w:r>
    </w:p>
    <w:p>
      <w:pPr>
        <w:spacing w:after="0" w:line="178" w:lineRule="exact"/>
        <w:rPr>
          <w:rFonts w:ascii="Arial" w:cs="Arial" w:eastAsia="Arial" w:hAnsi="Arial"/>
          <w:sz w:val="16"/>
          <w:szCs w:val="16"/>
          <w:color w:val="auto"/>
        </w:rPr>
      </w:pPr>
    </w:p>
    <w:p>
      <w:pPr>
        <w:jc w:val="both"/>
        <w:ind w:firstLine="1953"/>
        <w:spacing w:after="0" w:line="250" w:lineRule="auto"/>
        <w:tabs>
          <w:tab w:leader="none" w:pos="2803" w:val="left"/>
        </w:tabs>
        <w:numPr>
          <w:ilvl w:val="1"/>
          <w:numId w:val="57"/>
        </w:numPr>
        <w:rPr>
          <w:rFonts w:ascii="Arial" w:cs="Arial" w:eastAsia="Arial" w:hAnsi="Arial"/>
          <w:sz w:val="18"/>
          <w:szCs w:val="18"/>
          <w:color w:val="auto"/>
        </w:rPr>
      </w:pPr>
      <w:r>
        <w:rPr>
          <w:rFonts w:ascii="Arial" w:cs="Arial" w:eastAsia="Arial" w:hAnsi="Arial"/>
          <w:sz w:val="22"/>
          <w:szCs w:val="22"/>
          <w:color w:val="auto"/>
        </w:rPr>
        <w:t>In the event of the termination of this Agreement pursuant to Section 19, this Agreement shall forthwith become void, and there shall be no liability on the part of any Party or their respective officers, directors, stockholders, or affiliates; provided, that, such termination shall not relieve any party from liability for breach of its representations or warranties or covenants hereunder.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is intentionally blank.]</w:t>
      </w:r>
    </w:p>
    <w:p>
      <w:pPr>
        <w:sectPr>
          <w:pgSz w:w="11900" w:h="16838" w:orient="portrait"/>
          <w:cols w:equalWidth="0" w:num="1">
            <w:col w:w="11420"/>
          </w:cols>
          <w:pgMar w:left="240" w:top="591" w:right="239" w:bottom="1440" w:gutter="0" w:footer="0" w:header="0"/>
        </w:sectPr>
      </w:pPr>
    </w:p>
    <w:bookmarkStart w:id="41" w:name="page42"/>
    <w:bookmarkEnd w:id="41"/>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and each Holder has caused its respective signature page to this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duly executed as of the date first written above.</w:t>
      </w:r>
    </w:p>
    <w:p>
      <w:pPr>
        <w:spacing w:after="0" w:line="311"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YRC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8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Jamie G. Pierson</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Jamie G. Pierson</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 Executive Vice President and</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420"/>
          </w:cols>
          <w:pgMar w:left="240" w:top="585"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i w:val="1"/>
          <w:iCs w:val="1"/>
          <w:color w:val="auto"/>
        </w:rPr>
        <w:t>Signature Page to Exchange Agreement</w:t>
      </w:r>
    </w:p>
    <w:p>
      <w:pPr>
        <w:spacing w:after="0" w:line="28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and each Holder has caused its respective signature page to this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duly executed as of the date first written above.</w:t>
      </w:r>
    </w:p>
    <w:p>
      <w:pPr>
        <w:spacing w:after="0" w:line="200" w:lineRule="exact"/>
        <w:rPr>
          <w:sz w:val="20"/>
          <w:szCs w:val="20"/>
          <w:color w:val="auto"/>
        </w:rPr>
      </w:pPr>
    </w:p>
    <w:p>
      <w:pPr>
        <w:spacing w:after="0" w:line="327"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[______________________________]</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w:t>
      </w:r>
    </w:p>
    <w:p>
      <w:pPr>
        <w:sectPr>
          <w:pgSz w:w="11900" w:h="16838" w:orient="portrait"/>
          <w:cols w:equalWidth="0" w:num="2">
            <w:col w:w="3260" w:space="460"/>
            <w:col w:w="7700"/>
          </w:cols>
          <w:pgMar w:left="240" w:top="584"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upperLetter"/>
      <w:start w:val="1"/>
    </w:lvl>
  </w:abstractNum>
  <w:abstractNum w:abstractNumId="29">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4B588F54"/>
    <w:multiLevelType w:val="hybridMultilevel"/>
    <w:lvl w:ilvl="0">
      <w:lvlJc w:val="left"/>
      <w:lvlText w:val="%1"/>
      <w:numFmt w:val="decimal"/>
      <w:start w:val="1"/>
    </w:lvl>
    <w:lvl w:ilvl="1">
      <w:lvlJc w:val="left"/>
      <w:lvlText w:val="(%2)"/>
      <w:numFmt w:val="lowerLetter"/>
      <w:start w:val="2"/>
    </w:lvl>
  </w:abstractNum>
  <w:abstractNum w:abstractNumId="31">
    <w:nsid w:val="542289EC"/>
    <w:multiLevelType w:val="hybridMultilevel"/>
    <w:lvl w:ilvl="0">
      <w:lvlJc w:val="left"/>
      <w:lvlText w:val="%1."/>
      <w:numFmt w:val="decimal"/>
      <w:start w:val="2"/>
    </w:lvl>
    <w:lvl w:ilvl="1">
      <w:lvlJc w:val="left"/>
      <w:lvlText w:val="(%2)"/>
      <w:numFmt w:val="lowerLetter"/>
      <w:start w:val="1"/>
    </w:lvl>
  </w:abstractNum>
  <w:abstractNum w:abstractNumId="32">
    <w:nsid w:val="6DE91B18"/>
    <w:multiLevelType w:val="hybridMultilevel"/>
    <w:lvl w:ilvl="0">
      <w:lvlJc w:val="left"/>
      <w:lvlText w:val="(%1)"/>
      <w:numFmt w:val="lowerLetter"/>
      <w:start w:val="7"/>
    </w:lvl>
  </w:abstractNum>
  <w:abstractNum w:abstractNumId="33">
    <w:nsid w:val="38437FDB"/>
    <w:multiLevelType w:val="hybridMultilevel"/>
    <w:lvl w:ilvl="0">
      <w:lvlJc w:val="left"/>
      <w:lvlText w:val="(%1)"/>
      <w:numFmt w:val="lowerLetter"/>
      <w:start w:val="12"/>
    </w:lvl>
  </w:abstractNum>
  <w:abstractNum w:abstractNumId="34">
    <w:nsid w:val="7644A45C"/>
    <w:multiLevelType w:val="hybridMultilevel"/>
    <w:lvl w:ilvl="0">
      <w:lvlJc w:val="left"/>
      <w:lvlText w:val="%1."/>
      <w:numFmt w:val="decimal"/>
      <w:start w:val="3"/>
    </w:lvl>
    <w:lvl w:ilvl="1">
      <w:lvlJc w:val="left"/>
      <w:lvlText w:val="(%2)"/>
      <w:numFmt w:val="lowerLetter"/>
      <w:start w:val="1"/>
    </w:lvl>
  </w:abstractNum>
  <w:abstractNum w:abstractNumId="35">
    <w:nsid w:val="32FFF902"/>
    <w:multiLevelType w:val="hybridMultilevel"/>
    <w:lvl w:ilvl="0">
      <w:lvlJc w:val="left"/>
      <w:lvlText w:val="(%1)"/>
      <w:numFmt w:val="lowerLetter"/>
      <w:start w:val="4"/>
    </w:lvl>
  </w:abstractNum>
  <w:abstractNum w:abstractNumId="36">
    <w:nsid w:val="684A481A"/>
    <w:multiLevelType w:val="hybridMultilevel"/>
    <w:lvl w:ilvl="0">
      <w:lvlJc w:val="left"/>
      <w:lvlText w:val="%1"/>
      <w:numFmt w:val="lowerLetter"/>
      <w:start w:val="1"/>
    </w:lvl>
    <w:lvl w:ilvl="1">
      <w:lvlJc w:val="left"/>
      <w:lvlText w:val="(%2)"/>
      <w:numFmt w:val="lowerLetter"/>
      <w:start w:val="9"/>
    </w:lvl>
  </w:abstractNum>
  <w:abstractNum w:abstractNumId="37">
    <w:nsid w:val="579478FE"/>
    <w:multiLevelType w:val="hybridMultilevel"/>
    <w:lvl w:ilvl="0">
      <w:lvlJc w:val="left"/>
      <w:lvlText w:val="(%1)"/>
      <w:numFmt w:val="lowerLetter"/>
      <w:start w:val="9"/>
    </w:lvl>
    <w:lvl w:ilvl="1">
      <w:lvlJc w:val="left"/>
      <w:lvlText w:val="(%2)"/>
      <w:numFmt w:val="lowerLetter"/>
      <w:start w:val="10"/>
    </w:lvl>
  </w:abstractNum>
  <w:abstractNum w:abstractNumId="38">
    <w:nsid w:val="749ABB43"/>
    <w:multiLevelType w:val="hybridMultilevel"/>
    <w:lvl w:ilvl="0">
      <w:lvlJc w:val="left"/>
      <w:lvlText w:val="%1."/>
      <w:numFmt w:val="decimal"/>
      <w:start w:val="4"/>
    </w:lvl>
  </w:abstractNum>
  <w:abstractNum w:abstractNumId="39">
    <w:nsid w:val="3DC240FB"/>
    <w:multiLevelType w:val="hybridMultilevel"/>
    <w:lvl w:ilvl="0">
      <w:lvlJc w:val="left"/>
      <w:lvlText w:val="%1"/>
      <w:numFmt w:val="decimal"/>
      <w:start w:val="1"/>
    </w:lvl>
    <w:lvl w:ilvl="1">
      <w:lvlJc w:val="left"/>
      <w:lvlText w:val="(%2)"/>
      <w:numFmt w:val="lowerLetter"/>
      <w:start w:val="1"/>
    </w:lvl>
  </w:abstractNum>
  <w:abstractNum w:abstractNumId="40">
    <w:nsid w:val="1BA026FA"/>
    <w:multiLevelType w:val="hybridMultilevel"/>
    <w:lvl w:ilvl="0">
      <w:lvlJc w:val="left"/>
      <w:lvlText w:val="%1."/>
      <w:numFmt w:val="decimal"/>
      <w:start w:val="5"/>
    </w:lvl>
    <w:lvl w:ilvl="1">
      <w:lvlJc w:val="left"/>
      <w:lvlText w:val="%2"/>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decimal"/>
      <w:start w:val="1"/>
    </w:lvl>
    <w:lvl w:ilvl="1">
      <w:lvlJc w:val="left"/>
      <w:lvlText w:val="(%2)"/>
      <w:numFmt w:val="lowerLetter"/>
      <w:start w:val="2"/>
    </w:lvl>
  </w:abstractNum>
  <w:abstractNum w:abstractNumId="43">
    <w:nsid w:val="12E685FB"/>
    <w:multiLevelType w:val="hybridMultilevel"/>
    <w:lvl w:ilvl="0">
      <w:lvlJc w:val="left"/>
      <w:lvlText w:val="%1."/>
      <w:numFmt w:val="decimal"/>
      <w:start w:val="6"/>
    </w:lvl>
    <w:lvl w:ilvl="1">
      <w:lvlJc w:val="left"/>
      <w:lvlText w:val="%2"/>
      <w:numFmt w:val="lowerLetter"/>
      <w:start w:val="1"/>
    </w:lvl>
  </w:abstractNum>
  <w:abstractNum w:abstractNumId="44">
    <w:nsid w:val="70C6A529"/>
    <w:multiLevelType w:val="hybridMultilevel"/>
    <w:lvl w:ilvl="0">
      <w:lvlJc w:val="left"/>
      <w:lvlText w:val="%1."/>
      <w:numFmt w:val="decimal"/>
      <w:start w:val="7"/>
    </w:lvl>
  </w:abstractNum>
  <w:abstractNum w:abstractNumId="45">
    <w:nsid w:val="520EEDD1"/>
    <w:multiLevelType w:val="hybridMultilevel"/>
    <w:lvl w:ilvl="0">
      <w:lvlJc w:val="left"/>
      <w:lvlText w:val="%1."/>
      <w:numFmt w:val="decimal"/>
      <w:start w:val="8"/>
    </w:lvl>
  </w:abstractNum>
  <w:abstractNum w:abstractNumId="46">
    <w:nsid w:val="374A3FE6"/>
    <w:multiLevelType w:val="hybridMultilevel"/>
    <w:lvl w:ilvl="0">
      <w:lvlJc w:val="left"/>
      <w:lvlText w:val="%1."/>
      <w:numFmt w:val="decimal"/>
      <w:start w:val="9"/>
    </w:lvl>
  </w:abstractNum>
  <w:abstractNum w:abstractNumId="47">
    <w:nsid w:val="4F4EF005"/>
    <w:multiLevelType w:val="hybridMultilevel"/>
    <w:lvl w:ilvl="0">
      <w:lvlJc w:val="left"/>
      <w:lvlText w:val="%1."/>
      <w:numFmt w:val="decimal"/>
      <w:start w:val="10"/>
    </w:lvl>
  </w:abstractNum>
  <w:abstractNum w:abstractNumId="48">
    <w:nsid w:val="23F9C13C"/>
    <w:multiLevelType w:val="hybridMultilevel"/>
    <w:lvl w:ilvl="0">
      <w:lvlJc w:val="left"/>
      <w:lvlText w:val="%1."/>
      <w:numFmt w:val="decimal"/>
      <w:start w:val="11"/>
    </w:lvl>
  </w:abstractNum>
  <w:abstractNum w:abstractNumId="49">
    <w:nsid w:val="649BB77C"/>
    <w:multiLevelType w:val="hybridMultilevel"/>
    <w:lvl w:ilvl="0">
      <w:lvlJc w:val="left"/>
      <w:lvlText w:val="%1."/>
      <w:numFmt w:val="decimal"/>
      <w:start w:val="12"/>
    </w:lvl>
  </w:abstractNum>
  <w:abstractNum w:abstractNumId="50">
    <w:nsid w:val="275AC794"/>
    <w:multiLevelType w:val="hybridMultilevel"/>
    <w:lvl w:ilvl="0">
      <w:lvlJc w:val="left"/>
      <w:lvlText w:val="%1."/>
      <w:numFmt w:val="decimal"/>
      <w:start w:val="13"/>
    </w:lvl>
  </w:abstractNum>
  <w:abstractNum w:abstractNumId="51">
    <w:nsid w:val="39386575"/>
    <w:multiLevelType w:val="hybridMultilevel"/>
    <w:lvl w:ilvl="0">
      <w:lvlJc w:val="left"/>
      <w:lvlText w:val="%1."/>
      <w:numFmt w:val="decimal"/>
      <w:start w:val="14"/>
    </w:lvl>
  </w:abstractNum>
  <w:abstractNum w:abstractNumId="52">
    <w:nsid w:val="1CF10FD8"/>
    <w:multiLevelType w:val="hybridMultilevel"/>
    <w:lvl w:ilvl="0">
      <w:lvlJc w:val="left"/>
      <w:lvlText w:val="%1."/>
      <w:numFmt w:val="decimal"/>
      <w:start w:val="15"/>
    </w:lvl>
  </w:abstractNum>
  <w:abstractNum w:abstractNumId="53">
    <w:nsid w:val="180115BE"/>
    <w:multiLevelType w:val="hybridMultilevel"/>
    <w:lvl w:ilvl="0">
      <w:lvlJc w:val="left"/>
      <w:lvlText w:val="%1."/>
      <w:numFmt w:val="decimal"/>
      <w:start w:val="16"/>
    </w:lvl>
  </w:abstractNum>
  <w:abstractNum w:abstractNumId="54">
    <w:nsid w:val="235BA861"/>
    <w:multiLevelType w:val="hybridMultilevel"/>
    <w:lvl w:ilvl="0">
      <w:lvlJc w:val="left"/>
      <w:lvlText w:val="%1."/>
      <w:numFmt w:val="decimal"/>
      <w:start w:val="17"/>
    </w:lvl>
  </w:abstractNum>
  <w:abstractNum w:abstractNumId="55">
    <w:nsid w:val="47398C89"/>
    <w:multiLevelType w:val="hybridMultilevel"/>
    <w:lvl w:ilvl="0">
      <w:lvlJc w:val="left"/>
      <w:lvlText w:val="%1."/>
      <w:numFmt w:val="decimal"/>
      <w:start w:val="18"/>
    </w:lvl>
  </w:abstractNum>
  <w:abstractNum w:abstractNumId="56">
    <w:nsid w:val="354FE9F9"/>
    <w:multiLevelType w:val="hybridMultilevel"/>
    <w:lvl w:ilvl="0">
      <w:lvlJc w:val="left"/>
      <w:lvlText w:val="%1."/>
      <w:numFmt w:val="decimal"/>
      <w:start w:val="19"/>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2019-12-29T16:49:13Z</dcterms:created>
  <dcterms:modified xsi:type="dcterms:W3CDTF">2019-12-29T16:49:13Z</dcterms:modified>
</cp:coreProperties>
</file>